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0D239">
      <w:pPr>
        <w:spacing w:line="600" w:lineRule="exact"/>
        <w:jc w:val="left"/>
        <w:outlineLvl w:val="0"/>
        <w:rPr>
          <w:rFonts w:ascii="方正小标宋简体" w:hAnsi="宋体" w:eastAsia="方正小标宋简体"/>
          <w:szCs w:val="21"/>
        </w:rPr>
      </w:pPr>
      <w:bookmarkStart w:id="0" w:name="_Toc15306267"/>
    </w:p>
    <w:p w14:paraId="123A167C">
      <w:pPr>
        <w:pStyle w:val="5"/>
        <w:spacing w:before="93"/>
      </w:pPr>
    </w:p>
    <w:p w14:paraId="68BDAAE4">
      <w:pPr>
        <w:spacing w:line="600" w:lineRule="exact"/>
        <w:jc w:val="center"/>
        <w:outlineLvl w:val="0"/>
        <w:rPr>
          <w:rFonts w:ascii="方正小标宋简体" w:hAnsi="宋体" w:eastAsia="方正小标宋简体"/>
          <w:sz w:val="72"/>
          <w:szCs w:val="72"/>
        </w:rPr>
      </w:pPr>
    </w:p>
    <w:p w14:paraId="697E356B">
      <w:pPr>
        <w:spacing w:line="600" w:lineRule="exact"/>
        <w:jc w:val="center"/>
        <w:outlineLvl w:val="0"/>
        <w:rPr>
          <w:rFonts w:ascii="方正小标宋简体" w:hAnsi="宋体" w:eastAsia="方正小标宋简体"/>
          <w:sz w:val="72"/>
          <w:szCs w:val="72"/>
        </w:rPr>
      </w:pPr>
    </w:p>
    <w:p w14:paraId="648D8CA6">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425"/>
      <w:bookmarkStart w:id="3" w:name="_Toc15396475"/>
      <w:bookmarkStart w:id="4" w:name="_Toc15378441"/>
      <w:bookmarkStart w:id="5" w:name="_Toc15377193"/>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14:paraId="5384F6B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96476"/>
      <w:bookmarkStart w:id="8" w:name="_Toc15377426"/>
      <w:bookmarkStart w:id="9" w:name="_Toc15377194"/>
      <w:bookmarkStart w:id="10" w:name="_Toc15378442"/>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射洪市太和中学单位决算</w:t>
      </w:r>
      <w:bookmarkEnd w:id="6"/>
      <w:bookmarkEnd w:id="7"/>
      <w:bookmarkEnd w:id="8"/>
      <w:bookmarkEnd w:id="9"/>
      <w:bookmarkEnd w:id="10"/>
      <w:bookmarkEnd w:id="11"/>
    </w:p>
    <w:p w14:paraId="38CB4E13">
      <w:pPr>
        <w:adjustRightInd w:val="0"/>
        <w:snapToGrid w:val="0"/>
        <w:spacing w:line="360" w:lineRule="auto"/>
        <w:jc w:val="center"/>
        <w:outlineLvl w:val="0"/>
        <w:rPr>
          <w:rFonts w:ascii="方正小标宋简体" w:hAnsi="宋体" w:eastAsia="方正小标宋简体"/>
          <w:sz w:val="52"/>
          <w:szCs w:val="52"/>
        </w:rPr>
      </w:pPr>
      <w:r>
        <w:rPr>
          <w:rFonts w:hint="eastAsia" w:ascii="方正小标宋简体" w:hAnsi="宋体" w:eastAsia="方正小标宋简体"/>
          <w:sz w:val="52"/>
          <w:szCs w:val="52"/>
        </w:rPr>
        <w:t>（单位公开）</w:t>
      </w:r>
    </w:p>
    <w:p w14:paraId="5E195626">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DECD6BF">
      <w:pPr>
        <w:widowControl/>
        <w:jc w:val="center"/>
        <w:rPr>
          <w:rFonts w:ascii="黑体" w:hAnsi="黑体" w:eastAsia="黑体" w:cstheme="minorBidi"/>
          <w:sz w:val="28"/>
          <w:szCs w:val="28"/>
        </w:rPr>
      </w:pPr>
    </w:p>
    <w:p w14:paraId="4AC00A73">
      <w:pPr>
        <w:pStyle w:val="11"/>
      </w:pPr>
      <w:r>
        <w:rPr>
          <w:rFonts w:hint="eastAsia"/>
        </w:rPr>
        <w:t>公开时间：2024年9月15日</w:t>
      </w:r>
    </w:p>
    <w:p w14:paraId="747ECC21"/>
    <w:p w14:paraId="51C689AB">
      <w:pPr>
        <w:pStyle w:val="11"/>
        <w:adjustRightInd w:val="0"/>
        <w:snapToGrid w:val="0"/>
        <w:spacing w:before="0" w:line="600" w:lineRule="exact"/>
        <w:jc w:val="left"/>
        <w:rPr>
          <w:rFonts w:cstheme="minorBidi"/>
          <w:sz w:val="24"/>
          <w:szCs w:val="24"/>
        </w:rPr>
      </w:pPr>
      <w:r>
        <w:rPr>
          <w:rFonts w:hint="eastAsia"/>
          <w:sz w:val="24"/>
        </w:rPr>
        <w:t>第一部分单位概况</w:t>
      </w:r>
      <w:r>
        <w:rPr>
          <w:rFonts w:hint="eastAsia"/>
          <w:sz w:val="24"/>
        </w:rPr>
        <w:tab/>
      </w:r>
      <w:r>
        <w:rPr>
          <w:rFonts w:hint="eastAsia"/>
          <w:sz w:val="24"/>
        </w:rPr>
        <w:t>4</w:t>
      </w:r>
    </w:p>
    <w:p w14:paraId="69E549CA">
      <w:pPr>
        <w:pStyle w:val="12"/>
        <w:adjustRightInd w:val="0"/>
        <w:snapToGrid w:val="0"/>
        <w:spacing w:line="600" w:lineRule="exact"/>
        <w:jc w:val="left"/>
        <w:rPr>
          <w:sz w:val="24"/>
        </w:rPr>
      </w:pPr>
      <w:r>
        <w:rPr>
          <w:rFonts w:hint="eastAsia"/>
          <w:sz w:val="24"/>
        </w:rPr>
        <w:t>一、主要职责</w:t>
      </w:r>
      <w:r>
        <w:rPr>
          <w:rFonts w:hint="eastAsia"/>
          <w:sz w:val="24"/>
        </w:rPr>
        <w:tab/>
      </w:r>
      <w:r>
        <w:rPr>
          <w:rFonts w:hint="eastAsia"/>
          <w:sz w:val="24"/>
        </w:rPr>
        <w:t>4</w:t>
      </w:r>
    </w:p>
    <w:p w14:paraId="5F14CFDF">
      <w:pPr>
        <w:pStyle w:val="12"/>
        <w:adjustRightInd w:val="0"/>
        <w:snapToGrid w:val="0"/>
        <w:spacing w:line="600" w:lineRule="exact"/>
        <w:jc w:val="left"/>
      </w:pPr>
      <w:r>
        <w:rPr>
          <w:rFonts w:hint="eastAsia"/>
          <w:sz w:val="24"/>
        </w:rPr>
        <w:t>二、机构设置</w:t>
      </w:r>
      <w:r>
        <w:rPr>
          <w:rFonts w:hint="eastAsia"/>
          <w:sz w:val="24"/>
        </w:rPr>
        <w:tab/>
      </w:r>
      <w:r>
        <w:rPr>
          <w:rFonts w:hint="eastAsia"/>
          <w:sz w:val="24"/>
        </w:rPr>
        <w:t>4</w:t>
      </w:r>
    </w:p>
    <w:p w14:paraId="76651F86">
      <w:pPr>
        <w:pStyle w:val="11"/>
        <w:adjustRightInd w:val="0"/>
        <w:snapToGrid w:val="0"/>
        <w:spacing w:before="0" w:line="600" w:lineRule="exact"/>
        <w:jc w:val="left"/>
        <w:rPr>
          <w:sz w:val="24"/>
          <w:szCs w:val="24"/>
        </w:rPr>
      </w:pPr>
      <w:r>
        <w:rPr>
          <w:rFonts w:hint="eastAsia"/>
          <w:sz w:val="24"/>
        </w:rPr>
        <w:t>第二部分 2023年度单位决算情况说明</w:t>
      </w:r>
      <w:r>
        <w:rPr>
          <w:rFonts w:hint="eastAsia"/>
          <w:sz w:val="24"/>
        </w:rPr>
        <w:tab/>
      </w:r>
      <w:r>
        <w:rPr>
          <w:rFonts w:hint="eastAsia"/>
          <w:sz w:val="24"/>
        </w:rPr>
        <w:t>5</w:t>
      </w:r>
    </w:p>
    <w:p w14:paraId="5D7B46E5">
      <w:pPr>
        <w:pStyle w:val="12"/>
        <w:adjustRightInd w:val="0"/>
        <w:snapToGrid w:val="0"/>
        <w:spacing w:line="600" w:lineRule="exact"/>
        <w:jc w:val="left"/>
        <w:rPr>
          <w:rFonts w:ascii="仿宋" w:hAnsi="仿宋" w:eastAsia="仿宋" w:cstheme="minorBidi"/>
          <w:sz w:val="24"/>
        </w:rPr>
      </w:pPr>
      <w:r>
        <w:rPr>
          <w:rFonts w:hint="eastAsia"/>
          <w:sz w:val="24"/>
        </w:rPr>
        <w:t>一、收入支出决算总体情况说明</w:t>
      </w:r>
      <w:r>
        <w:rPr>
          <w:rFonts w:hint="eastAsia"/>
          <w:sz w:val="24"/>
        </w:rPr>
        <w:tab/>
      </w:r>
      <w:r>
        <w:rPr>
          <w:rFonts w:hint="eastAsia"/>
          <w:sz w:val="24"/>
        </w:rPr>
        <w:t>5</w:t>
      </w:r>
    </w:p>
    <w:p w14:paraId="64E57C2A">
      <w:pPr>
        <w:pStyle w:val="12"/>
        <w:adjustRightInd w:val="0"/>
        <w:snapToGrid w:val="0"/>
        <w:spacing w:line="600" w:lineRule="exact"/>
        <w:jc w:val="left"/>
        <w:rPr>
          <w:rFonts w:ascii="仿宋" w:hAnsi="仿宋" w:eastAsia="仿宋" w:cstheme="minorBidi"/>
          <w:sz w:val="24"/>
        </w:rPr>
      </w:pPr>
      <w:r>
        <w:rPr>
          <w:rFonts w:hint="eastAsia"/>
          <w:sz w:val="24"/>
        </w:rPr>
        <w:t>二、收入决算情况说明</w:t>
      </w:r>
      <w:r>
        <w:rPr>
          <w:rFonts w:hint="eastAsia"/>
          <w:sz w:val="24"/>
        </w:rPr>
        <w:tab/>
      </w:r>
      <w:r>
        <w:rPr>
          <w:rFonts w:hint="eastAsia"/>
          <w:sz w:val="24"/>
        </w:rPr>
        <w:t>5</w:t>
      </w:r>
    </w:p>
    <w:p w14:paraId="1E68EC77">
      <w:pPr>
        <w:pStyle w:val="12"/>
        <w:adjustRightInd w:val="0"/>
        <w:snapToGrid w:val="0"/>
        <w:spacing w:line="600" w:lineRule="exact"/>
        <w:jc w:val="left"/>
        <w:rPr>
          <w:rFonts w:ascii="仿宋" w:hAnsi="仿宋" w:eastAsia="仿宋" w:cstheme="minorBidi"/>
          <w:sz w:val="24"/>
        </w:rPr>
      </w:pPr>
      <w:r>
        <w:rPr>
          <w:rFonts w:hint="eastAsia"/>
          <w:sz w:val="24"/>
        </w:rPr>
        <w:t>三、支出决算情况说明</w:t>
      </w:r>
      <w:r>
        <w:rPr>
          <w:rFonts w:hint="eastAsia"/>
          <w:sz w:val="24"/>
        </w:rPr>
        <w:tab/>
      </w:r>
      <w:r>
        <w:rPr>
          <w:rFonts w:hint="eastAsia"/>
          <w:sz w:val="24"/>
        </w:rPr>
        <w:t>6</w:t>
      </w:r>
    </w:p>
    <w:p w14:paraId="0485997F">
      <w:pPr>
        <w:pStyle w:val="12"/>
        <w:adjustRightInd w:val="0"/>
        <w:snapToGrid w:val="0"/>
        <w:spacing w:line="600" w:lineRule="exact"/>
        <w:jc w:val="left"/>
        <w:rPr>
          <w:rFonts w:ascii="仿宋" w:hAnsi="仿宋" w:eastAsia="仿宋" w:cstheme="minorBidi"/>
          <w:sz w:val="24"/>
        </w:rPr>
      </w:pPr>
      <w:r>
        <w:rPr>
          <w:rFonts w:hint="eastAsia"/>
          <w:sz w:val="24"/>
        </w:rPr>
        <w:t>四、财政拨款收入支出决算总体情况说明</w:t>
      </w:r>
      <w:r>
        <w:rPr>
          <w:rFonts w:hint="eastAsia"/>
          <w:sz w:val="24"/>
        </w:rPr>
        <w:tab/>
      </w:r>
      <w:r>
        <w:rPr>
          <w:rFonts w:hint="eastAsia"/>
          <w:sz w:val="24"/>
        </w:rPr>
        <w:t>7</w:t>
      </w:r>
    </w:p>
    <w:p w14:paraId="39C98FEF">
      <w:pPr>
        <w:pStyle w:val="12"/>
        <w:adjustRightInd w:val="0"/>
        <w:snapToGrid w:val="0"/>
        <w:spacing w:line="600" w:lineRule="exact"/>
        <w:jc w:val="left"/>
        <w:rPr>
          <w:rFonts w:ascii="仿宋" w:hAnsi="仿宋" w:eastAsia="仿宋" w:cstheme="minorBidi"/>
          <w:sz w:val="24"/>
        </w:rPr>
      </w:pPr>
      <w:r>
        <w:rPr>
          <w:rFonts w:hint="eastAsia"/>
          <w:sz w:val="24"/>
        </w:rPr>
        <w:t>五、一般公共预算财政拨款支出决算情况说明</w:t>
      </w:r>
      <w:r>
        <w:rPr>
          <w:rFonts w:hint="eastAsia"/>
          <w:sz w:val="24"/>
        </w:rPr>
        <w:tab/>
      </w:r>
      <w:r>
        <w:rPr>
          <w:rFonts w:hint="eastAsia"/>
          <w:sz w:val="24"/>
        </w:rPr>
        <w:t>7</w:t>
      </w:r>
    </w:p>
    <w:p w14:paraId="29B39030">
      <w:pPr>
        <w:pStyle w:val="12"/>
        <w:adjustRightInd w:val="0"/>
        <w:snapToGrid w:val="0"/>
        <w:spacing w:line="600" w:lineRule="exact"/>
        <w:jc w:val="left"/>
        <w:rPr>
          <w:rFonts w:ascii="仿宋" w:hAnsi="仿宋" w:eastAsia="仿宋" w:cstheme="minorBidi"/>
          <w:sz w:val="24"/>
        </w:rPr>
      </w:pPr>
      <w:r>
        <w:rPr>
          <w:rFonts w:hint="eastAsia"/>
          <w:sz w:val="24"/>
        </w:rPr>
        <w:t>六、一般公共预算财政拨款基本支出决算情况说明</w:t>
      </w:r>
      <w:r>
        <w:rPr>
          <w:rFonts w:hint="eastAsia"/>
          <w:sz w:val="24"/>
        </w:rPr>
        <w:tab/>
      </w:r>
      <w:r>
        <w:rPr>
          <w:rFonts w:hint="eastAsia"/>
          <w:sz w:val="24"/>
        </w:rPr>
        <w:t>10</w:t>
      </w:r>
    </w:p>
    <w:p w14:paraId="3450D27B">
      <w:pPr>
        <w:pStyle w:val="12"/>
        <w:adjustRightInd w:val="0"/>
        <w:snapToGrid w:val="0"/>
        <w:spacing w:line="600" w:lineRule="exact"/>
        <w:jc w:val="left"/>
        <w:rPr>
          <w:rFonts w:ascii="仿宋" w:hAnsi="仿宋" w:eastAsia="仿宋" w:cstheme="minorBidi"/>
          <w:sz w:val="24"/>
        </w:rPr>
      </w:pPr>
      <w:r>
        <w:rPr>
          <w:rFonts w:hint="eastAsia"/>
          <w:sz w:val="24"/>
        </w:rPr>
        <w:t>七、财政拨款“三公”经费支出决算情况说明</w:t>
      </w:r>
      <w:r>
        <w:rPr>
          <w:rFonts w:hint="eastAsia"/>
          <w:sz w:val="24"/>
        </w:rPr>
        <w:tab/>
      </w:r>
      <w:r>
        <w:rPr>
          <w:rFonts w:hint="eastAsia"/>
          <w:sz w:val="24"/>
        </w:rPr>
        <w:t>10</w:t>
      </w:r>
    </w:p>
    <w:p w14:paraId="00DEF1B5">
      <w:pPr>
        <w:pStyle w:val="12"/>
        <w:adjustRightInd w:val="0"/>
        <w:snapToGrid w:val="0"/>
        <w:spacing w:line="600" w:lineRule="exact"/>
        <w:jc w:val="left"/>
        <w:rPr>
          <w:rFonts w:ascii="仿宋" w:hAnsi="仿宋" w:eastAsia="仿宋" w:cstheme="minorBidi"/>
          <w:sz w:val="24"/>
        </w:rPr>
      </w:pPr>
      <w:r>
        <w:rPr>
          <w:rFonts w:hint="eastAsia"/>
          <w:sz w:val="24"/>
        </w:rPr>
        <w:t>八、政府性基金预算支出决算情况说明</w:t>
      </w:r>
      <w:r>
        <w:rPr>
          <w:rFonts w:hint="eastAsia"/>
          <w:sz w:val="24"/>
        </w:rPr>
        <w:tab/>
      </w:r>
      <w:r>
        <w:rPr>
          <w:rFonts w:hint="eastAsia"/>
          <w:sz w:val="24"/>
        </w:rPr>
        <w:t>11</w:t>
      </w:r>
    </w:p>
    <w:p w14:paraId="270CCBDA">
      <w:pPr>
        <w:pStyle w:val="12"/>
        <w:adjustRightInd w:val="0"/>
        <w:snapToGrid w:val="0"/>
        <w:spacing w:line="600" w:lineRule="exact"/>
        <w:jc w:val="left"/>
        <w:rPr>
          <w:sz w:val="24"/>
        </w:rPr>
      </w:pPr>
      <w:r>
        <w:rPr>
          <w:rFonts w:hint="eastAsia"/>
          <w:sz w:val="24"/>
        </w:rPr>
        <w:t>九、国有资本经营预算支出决算情况说明</w:t>
      </w:r>
      <w:r>
        <w:rPr>
          <w:rFonts w:hint="eastAsia"/>
          <w:sz w:val="24"/>
        </w:rPr>
        <w:tab/>
      </w:r>
      <w:r>
        <w:rPr>
          <w:rFonts w:hint="eastAsia"/>
          <w:sz w:val="24"/>
        </w:rPr>
        <w:t>11</w:t>
      </w:r>
    </w:p>
    <w:p w14:paraId="09762674">
      <w:pPr>
        <w:pStyle w:val="12"/>
        <w:adjustRightInd w:val="0"/>
        <w:snapToGrid w:val="0"/>
        <w:spacing w:line="600" w:lineRule="exact"/>
        <w:jc w:val="left"/>
        <w:rPr>
          <w:sz w:val="24"/>
        </w:rPr>
      </w:pPr>
      <w:r>
        <w:rPr>
          <w:rFonts w:hint="eastAsia"/>
          <w:sz w:val="24"/>
        </w:rPr>
        <w:t>十、其他重要事项的情况说明</w:t>
      </w:r>
      <w:r>
        <w:rPr>
          <w:rFonts w:hint="eastAsia"/>
          <w:sz w:val="24"/>
        </w:rPr>
        <w:tab/>
      </w:r>
      <w:r>
        <w:rPr>
          <w:rFonts w:hint="eastAsia"/>
          <w:sz w:val="24"/>
        </w:rPr>
        <w:t>11</w:t>
      </w:r>
    </w:p>
    <w:p w14:paraId="660E01A7">
      <w:pPr>
        <w:pStyle w:val="11"/>
        <w:adjustRightInd w:val="0"/>
        <w:snapToGrid w:val="0"/>
        <w:spacing w:before="0" w:line="600" w:lineRule="exact"/>
        <w:jc w:val="left"/>
        <w:rPr>
          <w:rFonts w:cstheme="minorBidi"/>
          <w:sz w:val="24"/>
          <w:szCs w:val="24"/>
        </w:rPr>
      </w:pPr>
      <w:r>
        <w:rPr>
          <w:rFonts w:hint="eastAsia"/>
          <w:sz w:val="24"/>
        </w:rPr>
        <w:t>第三部分名词解释</w:t>
      </w:r>
      <w:r>
        <w:rPr>
          <w:rFonts w:hint="eastAsia"/>
          <w:sz w:val="24"/>
        </w:rPr>
        <w:tab/>
      </w:r>
      <w:r>
        <w:rPr>
          <w:rFonts w:hint="eastAsia"/>
          <w:sz w:val="24"/>
        </w:rPr>
        <w:t>13</w:t>
      </w:r>
    </w:p>
    <w:p w14:paraId="6ACEDAF2">
      <w:pPr>
        <w:pStyle w:val="11"/>
        <w:adjustRightInd w:val="0"/>
        <w:snapToGrid w:val="0"/>
        <w:spacing w:before="0" w:line="600" w:lineRule="exact"/>
        <w:jc w:val="left"/>
        <w:rPr>
          <w:rFonts w:cstheme="minorBidi"/>
          <w:sz w:val="24"/>
          <w:szCs w:val="24"/>
        </w:rPr>
      </w:pPr>
      <w:r>
        <w:rPr>
          <w:rFonts w:hint="eastAsia"/>
          <w:sz w:val="24"/>
        </w:rPr>
        <w:t>第四部分附件</w:t>
      </w:r>
      <w:r>
        <w:rPr>
          <w:rFonts w:hint="eastAsia"/>
          <w:sz w:val="24"/>
        </w:rPr>
        <w:tab/>
      </w:r>
      <w:r>
        <w:rPr>
          <w:rFonts w:hint="eastAsia"/>
          <w:sz w:val="24"/>
        </w:rPr>
        <w:t>14</w:t>
      </w:r>
    </w:p>
    <w:p w14:paraId="0F16C52A">
      <w:pPr>
        <w:pStyle w:val="11"/>
        <w:adjustRightInd w:val="0"/>
        <w:snapToGrid w:val="0"/>
        <w:spacing w:before="0" w:line="600" w:lineRule="exact"/>
        <w:jc w:val="left"/>
        <w:rPr>
          <w:rFonts w:cstheme="minorBidi"/>
          <w:sz w:val="24"/>
          <w:szCs w:val="24"/>
        </w:rPr>
      </w:pPr>
      <w:r>
        <w:rPr>
          <w:rFonts w:hint="eastAsia"/>
          <w:sz w:val="24"/>
        </w:rPr>
        <w:t>第五部分附表</w:t>
      </w:r>
      <w:r>
        <w:rPr>
          <w:rFonts w:hint="eastAsia"/>
          <w:sz w:val="24"/>
        </w:rPr>
        <w:tab/>
      </w:r>
      <w:r>
        <w:rPr>
          <w:rFonts w:hint="eastAsia"/>
          <w:sz w:val="24"/>
        </w:rPr>
        <w:t>17</w:t>
      </w:r>
    </w:p>
    <w:p w14:paraId="7B5B6579">
      <w:pPr>
        <w:pStyle w:val="12"/>
        <w:adjustRightInd w:val="0"/>
        <w:snapToGrid w:val="0"/>
        <w:spacing w:line="600" w:lineRule="exact"/>
        <w:jc w:val="left"/>
        <w:rPr>
          <w:sz w:val="24"/>
        </w:rPr>
      </w:pPr>
      <w:r>
        <w:rPr>
          <w:rFonts w:hint="eastAsia"/>
          <w:sz w:val="24"/>
        </w:rPr>
        <w:t>一、收入支出决算总表</w:t>
      </w:r>
    </w:p>
    <w:p w14:paraId="4CD081D5">
      <w:pPr>
        <w:pStyle w:val="12"/>
        <w:adjustRightInd w:val="0"/>
        <w:snapToGrid w:val="0"/>
        <w:spacing w:line="600" w:lineRule="exact"/>
        <w:jc w:val="left"/>
        <w:rPr>
          <w:sz w:val="24"/>
        </w:rPr>
      </w:pPr>
      <w:r>
        <w:rPr>
          <w:rFonts w:hint="eastAsia"/>
          <w:sz w:val="24"/>
        </w:rPr>
        <w:t>二、收入决算表</w:t>
      </w:r>
    </w:p>
    <w:p w14:paraId="53E18E0F">
      <w:pPr>
        <w:pStyle w:val="12"/>
        <w:adjustRightInd w:val="0"/>
        <w:snapToGrid w:val="0"/>
        <w:spacing w:line="600" w:lineRule="exact"/>
        <w:jc w:val="left"/>
        <w:rPr>
          <w:sz w:val="24"/>
        </w:rPr>
      </w:pPr>
      <w:r>
        <w:rPr>
          <w:rFonts w:hint="eastAsia"/>
          <w:sz w:val="24"/>
        </w:rPr>
        <w:t>三、支出决算表</w:t>
      </w:r>
    </w:p>
    <w:p w14:paraId="549EBAD5">
      <w:pPr>
        <w:pStyle w:val="12"/>
        <w:adjustRightInd w:val="0"/>
        <w:snapToGrid w:val="0"/>
        <w:spacing w:line="600" w:lineRule="exact"/>
        <w:jc w:val="left"/>
        <w:rPr>
          <w:sz w:val="24"/>
        </w:rPr>
      </w:pPr>
      <w:r>
        <w:rPr>
          <w:rFonts w:hint="eastAsia"/>
          <w:sz w:val="24"/>
        </w:rPr>
        <w:t>四、财政拨款收入支出决算总表</w:t>
      </w:r>
    </w:p>
    <w:p w14:paraId="7E04D531">
      <w:pPr>
        <w:pStyle w:val="12"/>
        <w:adjustRightInd w:val="0"/>
        <w:snapToGrid w:val="0"/>
        <w:spacing w:line="600" w:lineRule="exact"/>
        <w:jc w:val="left"/>
        <w:rPr>
          <w:sz w:val="24"/>
        </w:rPr>
      </w:pPr>
      <w:r>
        <w:rPr>
          <w:rFonts w:hint="eastAsia"/>
          <w:sz w:val="24"/>
        </w:rPr>
        <w:t>五、财政拨款支出决算明细表</w:t>
      </w:r>
    </w:p>
    <w:p w14:paraId="5C500193">
      <w:pPr>
        <w:pStyle w:val="12"/>
        <w:adjustRightInd w:val="0"/>
        <w:snapToGrid w:val="0"/>
        <w:spacing w:line="600" w:lineRule="exact"/>
        <w:jc w:val="left"/>
        <w:rPr>
          <w:sz w:val="24"/>
        </w:rPr>
      </w:pPr>
      <w:r>
        <w:rPr>
          <w:rFonts w:hint="eastAsia"/>
          <w:sz w:val="24"/>
        </w:rPr>
        <w:t>六、一般公共预算财政拨款支出决算表</w:t>
      </w:r>
    </w:p>
    <w:p w14:paraId="01220DA7">
      <w:pPr>
        <w:pStyle w:val="12"/>
        <w:adjustRightInd w:val="0"/>
        <w:snapToGrid w:val="0"/>
        <w:spacing w:line="600" w:lineRule="exact"/>
        <w:jc w:val="left"/>
        <w:rPr>
          <w:sz w:val="24"/>
        </w:rPr>
      </w:pPr>
      <w:r>
        <w:rPr>
          <w:rFonts w:hint="eastAsia"/>
          <w:sz w:val="24"/>
        </w:rPr>
        <w:t>七、一般公共预算财政拨款支出决算明细表</w:t>
      </w:r>
    </w:p>
    <w:p w14:paraId="6D3308DB">
      <w:pPr>
        <w:pStyle w:val="12"/>
        <w:adjustRightInd w:val="0"/>
        <w:snapToGrid w:val="0"/>
        <w:spacing w:line="600" w:lineRule="exact"/>
        <w:jc w:val="left"/>
        <w:rPr>
          <w:sz w:val="24"/>
        </w:rPr>
      </w:pPr>
      <w:r>
        <w:rPr>
          <w:rFonts w:hint="eastAsia"/>
          <w:sz w:val="24"/>
        </w:rPr>
        <w:t>八、一般公共预算财政拨款基本支出决算明细表</w:t>
      </w:r>
    </w:p>
    <w:p w14:paraId="14AF77F9">
      <w:pPr>
        <w:pStyle w:val="12"/>
        <w:adjustRightInd w:val="0"/>
        <w:snapToGrid w:val="0"/>
        <w:spacing w:line="600" w:lineRule="exact"/>
        <w:jc w:val="left"/>
        <w:rPr>
          <w:sz w:val="24"/>
        </w:rPr>
      </w:pPr>
      <w:r>
        <w:rPr>
          <w:rFonts w:hint="eastAsia"/>
          <w:sz w:val="24"/>
        </w:rPr>
        <w:t>九、一般公共预算财政拨款项目支出决算表</w:t>
      </w:r>
    </w:p>
    <w:p w14:paraId="7F6B9F15">
      <w:pPr>
        <w:pStyle w:val="12"/>
        <w:adjustRightInd w:val="0"/>
        <w:snapToGrid w:val="0"/>
        <w:spacing w:line="600" w:lineRule="exact"/>
        <w:jc w:val="left"/>
        <w:rPr>
          <w:sz w:val="24"/>
        </w:rPr>
      </w:pPr>
      <w:r>
        <w:rPr>
          <w:rFonts w:hint="eastAsia"/>
          <w:sz w:val="24"/>
        </w:rPr>
        <w:t>十、政府性基金预算财政拨款收入支出决算表</w:t>
      </w:r>
    </w:p>
    <w:p w14:paraId="749EF7D0">
      <w:pPr>
        <w:pStyle w:val="12"/>
        <w:adjustRightInd w:val="0"/>
        <w:snapToGrid w:val="0"/>
        <w:spacing w:line="600" w:lineRule="exact"/>
        <w:jc w:val="left"/>
        <w:rPr>
          <w:sz w:val="24"/>
        </w:rPr>
      </w:pPr>
      <w:r>
        <w:rPr>
          <w:rFonts w:hint="eastAsia"/>
          <w:sz w:val="24"/>
        </w:rPr>
        <w:t>十一、国有资本经营预算财政拨款收入支出决算表</w:t>
      </w:r>
    </w:p>
    <w:p w14:paraId="2066C5E2">
      <w:pPr>
        <w:pStyle w:val="12"/>
        <w:adjustRightInd w:val="0"/>
        <w:snapToGrid w:val="0"/>
        <w:spacing w:line="600" w:lineRule="exact"/>
        <w:jc w:val="left"/>
        <w:rPr>
          <w:sz w:val="24"/>
        </w:rPr>
      </w:pPr>
      <w:r>
        <w:rPr>
          <w:rFonts w:hint="eastAsia"/>
          <w:sz w:val="24"/>
        </w:rPr>
        <w:t>十二、国有资本经营预算财政拨款支出决算表</w:t>
      </w:r>
    </w:p>
    <w:p w14:paraId="2B07619C">
      <w:pPr>
        <w:pStyle w:val="12"/>
        <w:adjustRightInd w:val="0"/>
        <w:snapToGrid w:val="0"/>
        <w:spacing w:line="600" w:lineRule="exact"/>
        <w:jc w:val="left"/>
        <w:rPr>
          <w:sz w:val="24"/>
        </w:rPr>
      </w:pPr>
      <w:r>
        <w:rPr>
          <w:rFonts w:hint="eastAsia"/>
          <w:sz w:val="24"/>
        </w:rPr>
        <w:t>十三、财政拨款“三公”经费支出决算表</w:t>
      </w:r>
    </w:p>
    <w:p w14:paraId="5ACE719A">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0D1C4612">
      <w:pPr>
        <w:pStyle w:val="2"/>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14:paraId="2AEA669D">
      <w:pPr>
        <w:widowControl/>
        <w:jc w:val="left"/>
        <w:rPr>
          <w:rFonts w:ascii="黑体" w:eastAsia="黑体"/>
          <w:sz w:val="32"/>
          <w:szCs w:val="32"/>
        </w:rPr>
      </w:pPr>
    </w:p>
    <w:p w14:paraId="32CFA558">
      <w:pPr>
        <w:pStyle w:val="3"/>
        <w:ind w:firstLine="640" w:firstLineChars="200"/>
        <w:rPr>
          <w:rStyle w:val="28"/>
          <w:rFonts w:ascii="黑体" w:hAnsi="黑体" w:eastAsia="黑体"/>
          <w:b w:val="0"/>
          <w:bCs w:val="0"/>
        </w:rPr>
      </w:pPr>
      <w:bookmarkStart w:id="14" w:name="_Toc15396600"/>
      <w:bookmarkStart w:id="15" w:name="_Toc15377197"/>
      <w:r>
        <w:rPr>
          <w:rStyle w:val="28"/>
          <w:rFonts w:hint="eastAsia" w:ascii="黑体" w:hAnsi="黑体" w:eastAsia="黑体"/>
          <w:b w:val="0"/>
          <w:bCs w:val="0"/>
        </w:rPr>
        <w:t>一、 主要职责</w:t>
      </w:r>
    </w:p>
    <w:p w14:paraId="09297848">
      <w:pPr>
        <w:ind w:firstLine="640" w:firstLineChars="200"/>
      </w:pPr>
      <w:r>
        <w:rPr>
          <w:rFonts w:hint="eastAsia" w:ascii="仿宋" w:hAnsi="仿宋" w:eastAsia="仿宋"/>
          <w:bCs/>
          <w:color w:val="000000"/>
          <w:sz w:val="32"/>
          <w:szCs w:val="32"/>
        </w:rPr>
        <w:t>主要职能：</w:t>
      </w:r>
      <w:r>
        <w:rPr>
          <w:rFonts w:hint="eastAsia" w:ascii="仿宋" w:hAnsi="仿宋" w:eastAsia="仿宋"/>
          <w:bCs/>
          <w:color w:val="000000"/>
          <w:kern w:val="0"/>
          <w:sz w:val="32"/>
          <w:szCs w:val="32"/>
        </w:rPr>
        <w:t>强化财政资金管理，确保工资性支出足额兑现；强化社会保障资金管理，确保学校正常运转。</w:t>
      </w:r>
    </w:p>
    <w:p w14:paraId="09F0526E">
      <w:pPr>
        <w:pStyle w:val="3"/>
        <w:ind w:firstLine="640" w:firstLineChars="200"/>
        <w:rPr>
          <w:rFonts w:ascii="黑体" w:hAnsi="黑体" w:eastAsia="黑体"/>
          <w:b w:val="0"/>
        </w:rPr>
      </w:pPr>
      <w:r>
        <w:rPr>
          <w:rFonts w:hint="eastAsia" w:ascii="黑体" w:hAnsi="黑体" w:eastAsia="黑体"/>
          <w:b w:val="0"/>
        </w:rPr>
        <w:t>二、机构设置</w:t>
      </w:r>
    </w:p>
    <w:p w14:paraId="37099989">
      <w:pPr>
        <w:spacing w:line="500" w:lineRule="atLeas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机构情况：四川省射洪市太和中学决算单位</w:t>
      </w:r>
      <w:r>
        <w:rPr>
          <w:rFonts w:ascii="仿宋" w:hAnsi="仿宋" w:eastAsia="仿宋"/>
          <w:bCs/>
          <w:color w:val="000000"/>
          <w:kern w:val="0"/>
          <w:sz w:val="32"/>
          <w:szCs w:val="32"/>
        </w:rPr>
        <w:t>1</w:t>
      </w:r>
      <w:r>
        <w:rPr>
          <w:rFonts w:hint="eastAsia" w:ascii="仿宋" w:hAnsi="仿宋" w:eastAsia="仿宋"/>
          <w:bCs/>
          <w:color w:val="000000"/>
          <w:kern w:val="0"/>
          <w:sz w:val="32"/>
          <w:szCs w:val="32"/>
        </w:rPr>
        <w:t>个，其他事业单位</w:t>
      </w:r>
      <w:r>
        <w:rPr>
          <w:rFonts w:ascii="仿宋" w:hAnsi="仿宋" w:eastAsia="仿宋"/>
          <w:bCs/>
          <w:color w:val="000000"/>
          <w:kern w:val="0"/>
          <w:sz w:val="32"/>
          <w:szCs w:val="32"/>
        </w:rPr>
        <w:t>1</w:t>
      </w:r>
      <w:r>
        <w:rPr>
          <w:rFonts w:hint="eastAsia" w:ascii="仿宋" w:hAnsi="仿宋" w:eastAsia="仿宋"/>
          <w:bCs/>
          <w:color w:val="000000"/>
          <w:kern w:val="0"/>
          <w:sz w:val="32"/>
          <w:szCs w:val="32"/>
        </w:rPr>
        <w:t>个。内设处室</w:t>
      </w:r>
      <w:r>
        <w:rPr>
          <w:rFonts w:ascii="仿宋" w:hAnsi="仿宋" w:eastAsia="仿宋"/>
          <w:bCs/>
          <w:color w:val="000000"/>
          <w:kern w:val="0"/>
          <w:sz w:val="32"/>
          <w:szCs w:val="32"/>
        </w:rPr>
        <w:t>10</w:t>
      </w:r>
      <w:r>
        <w:rPr>
          <w:rFonts w:hint="eastAsia" w:ascii="仿宋" w:hAnsi="仿宋" w:eastAsia="仿宋"/>
          <w:bCs/>
          <w:color w:val="000000"/>
          <w:kern w:val="0"/>
          <w:sz w:val="32"/>
          <w:szCs w:val="32"/>
        </w:rPr>
        <w:t>个，党委办、行政办、教务处、教科室、德育处、安法处、监审室、学生发展中心、后勤处、体艺处。</w:t>
      </w:r>
    </w:p>
    <w:p w14:paraId="62382CC1">
      <w:pPr>
        <w:spacing w:line="500" w:lineRule="atLeas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人员情况：事业编制</w:t>
      </w:r>
      <w:r>
        <w:rPr>
          <w:rFonts w:ascii="仿宋" w:hAnsi="仿宋" w:eastAsia="仿宋"/>
          <w:bCs/>
          <w:color w:val="000000"/>
          <w:kern w:val="0"/>
          <w:sz w:val="32"/>
          <w:szCs w:val="32"/>
        </w:rPr>
        <w:t>340</w:t>
      </w:r>
      <w:r>
        <w:rPr>
          <w:rFonts w:hint="eastAsia" w:ascii="仿宋" w:hAnsi="仿宋" w:eastAsia="仿宋"/>
          <w:bCs/>
          <w:color w:val="000000"/>
          <w:kern w:val="0"/>
          <w:sz w:val="32"/>
          <w:szCs w:val="32"/>
        </w:rPr>
        <w:t>个。</w:t>
      </w:r>
      <w:r>
        <w:rPr>
          <w:rFonts w:ascii="仿宋" w:hAnsi="仿宋" w:eastAsia="仿宋"/>
          <w:bCs/>
          <w:color w:val="000000"/>
          <w:kern w:val="0"/>
          <w:sz w:val="32"/>
          <w:szCs w:val="32"/>
        </w:rPr>
        <w:t>202</w:t>
      </w:r>
      <w:r>
        <w:rPr>
          <w:rFonts w:hint="eastAsia" w:ascii="仿宋" w:hAnsi="仿宋" w:eastAsia="仿宋"/>
          <w:bCs/>
          <w:color w:val="000000"/>
          <w:kern w:val="0"/>
          <w:sz w:val="32"/>
          <w:szCs w:val="32"/>
        </w:rPr>
        <w:t>3年年末实有事业人员</w:t>
      </w:r>
      <w:r>
        <w:rPr>
          <w:rFonts w:ascii="仿宋" w:hAnsi="仿宋" w:eastAsia="仿宋"/>
          <w:bCs/>
          <w:color w:val="000000"/>
          <w:kern w:val="0"/>
          <w:sz w:val="32"/>
          <w:szCs w:val="32"/>
        </w:rPr>
        <w:t>3</w:t>
      </w:r>
      <w:r>
        <w:rPr>
          <w:rFonts w:hint="eastAsia" w:ascii="仿宋" w:hAnsi="仿宋" w:eastAsia="仿宋"/>
          <w:bCs/>
          <w:color w:val="000000"/>
          <w:kern w:val="0"/>
          <w:sz w:val="32"/>
          <w:szCs w:val="32"/>
        </w:rPr>
        <w:t>33人，遗属补助4人，初中学生1925人，高中学生2363人。</w:t>
      </w:r>
    </w:p>
    <w:p w14:paraId="5A16FFCF"/>
    <w:bookmarkEnd w:id="14"/>
    <w:bookmarkEnd w:id="15"/>
    <w:p w14:paraId="64DE221B">
      <w:pPr>
        <w:widowControl/>
        <w:jc w:val="left"/>
        <w:rPr>
          <w:rFonts w:ascii="仿宋" w:hAnsi="仿宋" w:eastAsia="仿宋"/>
          <w:kern w:val="0"/>
          <w:sz w:val="32"/>
          <w:szCs w:val="32"/>
        </w:rPr>
      </w:pPr>
      <w:r>
        <w:rPr>
          <w:rFonts w:ascii="仿宋" w:hAnsi="仿宋" w:eastAsia="仿宋"/>
          <w:sz w:val="32"/>
          <w:szCs w:val="32"/>
        </w:rPr>
        <w:br w:type="page"/>
      </w:r>
    </w:p>
    <w:p w14:paraId="73E9A57C">
      <w:pPr>
        <w:pStyle w:val="2"/>
        <w:ind w:right="440"/>
        <w:jc w:val="center"/>
      </w:pPr>
      <w:bookmarkStart w:id="16" w:name="_Toc15377204"/>
      <w:bookmarkStart w:id="17"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16"/>
      <w:bookmarkEnd w:id="17"/>
    </w:p>
    <w:p w14:paraId="498ABAC8">
      <w:pPr>
        <w:pStyle w:val="26"/>
        <w:numPr>
          <w:ilvl w:val="0"/>
          <w:numId w:val="1"/>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14:paraId="0398F646">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5820.25</w:t>
      </w:r>
      <w:r>
        <w:rPr>
          <w:rFonts w:hint="eastAsia" w:ascii="仿宋" w:hAnsi="仿宋" w:eastAsia="仿宋"/>
          <w:sz w:val="32"/>
          <w:szCs w:val="32"/>
        </w:rPr>
        <w:t>万元。与2022年度相比，收、支总计各减少396.6 万元，下降6.38</w:t>
      </w:r>
      <w:r>
        <w:rPr>
          <w:rFonts w:ascii="仿宋" w:hAnsi="仿宋" w:eastAsia="仿宋"/>
          <w:sz w:val="32"/>
          <w:szCs w:val="32"/>
        </w:rPr>
        <w:t>%</w:t>
      </w:r>
      <w:r>
        <w:rPr>
          <w:rFonts w:hint="eastAsia" w:ascii="仿宋" w:hAnsi="仿宋" w:eastAsia="仿宋"/>
          <w:sz w:val="32"/>
          <w:szCs w:val="32"/>
        </w:rPr>
        <w:t>。主要变动原因是2022年项目资金第三教学楼建设项目。</w:t>
      </w:r>
    </w:p>
    <w:p w14:paraId="2A2B0E14">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490BB6E2">
      <w:pPr>
        <w:spacing w:line="6000" w:lineRule="exact"/>
        <w:ind w:firstLine="420" w:firstLineChars="200"/>
        <w:rPr>
          <w:rFonts w:ascii="仿宋" w:hAnsi="仿宋" w:eastAsia="仿宋"/>
          <w:sz w:val="32"/>
          <w:szCs w:val="32"/>
        </w:rPr>
      </w:pPr>
      <w:r>
        <w:drawing>
          <wp:inline distT="0" distB="0" distL="0" distR="0">
            <wp:extent cx="4241165" cy="2746375"/>
            <wp:effectExtent l="4445" t="5080" r="21590"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1D9D0D">
      <w:pPr>
        <w:pStyle w:val="26"/>
        <w:numPr>
          <w:ilvl w:val="0"/>
          <w:numId w:val="1"/>
        </w:numPr>
        <w:spacing w:line="600" w:lineRule="exact"/>
        <w:ind w:firstLineChars="0"/>
        <w:outlineLvl w:val="1"/>
        <w:rPr>
          <w:rStyle w:val="28"/>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14:paraId="21B0AE32">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5820.25</w:t>
      </w:r>
      <w:r>
        <w:rPr>
          <w:rFonts w:hint="eastAsia" w:ascii="仿宋" w:hAnsi="仿宋" w:eastAsia="仿宋"/>
          <w:sz w:val="32"/>
          <w:szCs w:val="32"/>
        </w:rPr>
        <w:t>万元，其中：一般公共预算财政拨款收入</w:t>
      </w:r>
      <w:r>
        <w:rPr>
          <w:rFonts w:ascii="仿宋" w:hAnsi="仿宋" w:eastAsia="仿宋"/>
          <w:b/>
          <w:sz w:val="32"/>
          <w:szCs w:val="32"/>
        </w:rPr>
        <w:t>5820.25</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0484F250">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w:t>
      </w:r>
    </w:p>
    <w:p w14:paraId="4DE6E6F0">
      <w:r>
        <w:rPr>
          <w:rFonts w:ascii="Arial" w:hAnsi="Arial" w:eastAsia="黑体"/>
          <w:b/>
          <w:sz w:val="24"/>
          <w:szCs w:val="28"/>
        </w:rPr>
        <w:drawing>
          <wp:inline distT="0" distB="0" distL="0" distR="0">
            <wp:extent cx="4238625" cy="2743200"/>
            <wp:effectExtent l="19050" t="0" r="9525" b="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7026C3">
      <w:pPr>
        <w:pStyle w:val="26"/>
        <w:numPr>
          <w:ilvl w:val="0"/>
          <w:numId w:val="1"/>
        </w:numPr>
        <w:spacing w:line="600" w:lineRule="exact"/>
        <w:ind w:firstLineChars="0"/>
        <w:outlineLvl w:val="1"/>
        <w:rPr>
          <w:rStyle w:val="28"/>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14:paraId="1E22ACF6">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5820.25</w:t>
      </w:r>
      <w:r>
        <w:rPr>
          <w:rFonts w:hint="eastAsia" w:ascii="仿宋" w:hAnsi="仿宋" w:eastAsia="仿宋"/>
          <w:sz w:val="32"/>
          <w:szCs w:val="32"/>
        </w:rPr>
        <w:t>万元，其中：基本支出</w:t>
      </w:r>
      <w:r>
        <w:rPr>
          <w:rFonts w:ascii="仿宋" w:hAnsi="仿宋" w:eastAsia="仿宋"/>
          <w:b/>
          <w:sz w:val="32"/>
          <w:szCs w:val="32"/>
        </w:rPr>
        <w:t>5502.69</w:t>
      </w:r>
      <w:r>
        <w:rPr>
          <w:rFonts w:hint="eastAsia" w:ascii="仿宋" w:hAnsi="仿宋" w:eastAsia="仿宋"/>
          <w:sz w:val="32"/>
          <w:szCs w:val="32"/>
        </w:rPr>
        <w:t>万元，占</w:t>
      </w:r>
      <w:r>
        <w:rPr>
          <w:rFonts w:ascii="仿宋" w:hAnsi="仿宋" w:eastAsia="仿宋"/>
          <w:b/>
          <w:sz w:val="32"/>
          <w:szCs w:val="32"/>
        </w:rPr>
        <w:t>94.54</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317.56</w:t>
      </w:r>
      <w:r>
        <w:rPr>
          <w:rFonts w:hint="eastAsia" w:ascii="仿宋" w:hAnsi="仿宋" w:eastAsia="仿宋"/>
          <w:sz w:val="32"/>
          <w:szCs w:val="32"/>
        </w:rPr>
        <w:t>万元，占</w:t>
      </w:r>
      <w:r>
        <w:rPr>
          <w:rFonts w:ascii="仿宋" w:hAnsi="仿宋" w:eastAsia="仿宋"/>
          <w:b/>
          <w:sz w:val="32"/>
          <w:szCs w:val="32"/>
        </w:rPr>
        <w:t>5.45</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78CCBFA1">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w:t>
      </w:r>
    </w:p>
    <w:p w14:paraId="2201E5FD">
      <w:pPr>
        <w:spacing w:line="4000" w:lineRule="exact"/>
        <w:ind w:firstLine="640" w:firstLineChars="200"/>
        <w:rPr>
          <w:rFonts w:ascii="仿宋_GB2312" w:eastAsia="仿宋_GB2312"/>
          <w:sz w:val="32"/>
          <w:szCs w:val="32"/>
        </w:rPr>
      </w:pPr>
      <w:r>
        <w:rPr>
          <w:rFonts w:ascii="仿宋_GB2312" w:eastAsia="仿宋_GB2312"/>
          <w:sz w:val="32"/>
          <w:szCs w:val="32"/>
        </w:rPr>
        <w:drawing>
          <wp:inline distT="0" distB="0" distL="0" distR="0">
            <wp:extent cx="3181350" cy="1838325"/>
            <wp:effectExtent l="19050" t="0" r="19049" b="9524"/>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A2D576">
      <w:pPr>
        <w:spacing w:line="600" w:lineRule="exact"/>
        <w:ind w:firstLine="640" w:firstLineChars="200"/>
        <w:outlineLvl w:val="1"/>
        <w:rPr>
          <w:rStyle w:val="28"/>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14:paraId="65A28329">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rFonts w:ascii="仿宋" w:hAnsi="仿宋" w:eastAsia="仿宋"/>
          <w:b/>
          <w:sz w:val="32"/>
          <w:szCs w:val="32"/>
        </w:rPr>
        <w:t>5820.25</w:t>
      </w:r>
      <w:r>
        <w:rPr>
          <w:rFonts w:hint="eastAsia" w:ascii="仿宋" w:hAnsi="仿宋" w:eastAsia="仿宋"/>
          <w:sz w:val="32"/>
          <w:szCs w:val="32"/>
        </w:rPr>
        <w:t>万元。与2022年度相比，财政拨款收、支总计各减少396.6 万元，下降6.38</w:t>
      </w:r>
      <w:r>
        <w:rPr>
          <w:rFonts w:ascii="仿宋" w:hAnsi="仿宋" w:eastAsia="仿宋"/>
          <w:sz w:val="32"/>
          <w:szCs w:val="32"/>
        </w:rPr>
        <w:t>%</w:t>
      </w:r>
      <w:r>
        <w:rPr>
          <w:rFonts w:hint="eastAsia" w:ascii="仿宋" w:hAnsi="仿宋" w:eastAsia="仿宋"/>
          <w:sz w:val="32"/>
          <w:szCs w:val="32"/>
        </w:rPr>
        <w:t>。主要变动原因是2022年项目资金第三教学楼建设项目。</w:t>
      </w:r>
    </w:p>
    <w:p w14:paraId="3B1743FE">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14:paraId="1A728220">
      <w:pPr>
        <w:spacing w:line="5600" w:lineRule="exact"/>
        <w:ind w:firstLine="641"/>
        <w:rPr>
          <w:rFonts w:ascii="仿宋" w:hAnsi="仿宋" w:eastAsia="仿宋"/>
          <w:b/>
          <w:sz w:val="32"/>
          <w:szCs w:val="32"/>
        </w:rPr>
      </w:pPr>
      <w:r>
        <w:rPr>
          <w:rFonts w:ascii="仿宋" w:hAnsi="仿宋" w:eastAsia="仿宋"/>
          <w:b/>
          <w:sz w:val="32"/>
          <w:szCs w:val="32"/>
        </w:rPr>
        <w:drawing>
          <wp:inline distT="0" distB="0" distL="0" distR="0">
            <wp:extent cx="4238625" cy="2743200"/>
            <wp:effectExtent l="19050" t="0" r="9525" b="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2C6865">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14:paraId="47011F55">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575387D1">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sz w:val="32"/>
          <w:szCs w:val="32"/>
        </w:rPr>
        <w:t>5820.25</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。与2022年度相比，一般公共预算财政拨款支出减少396.6 万元，下降6.38</w:t>
      </w:r>
      <w:r>
        <w:rPr>
          <w:rFonts w:ascii="仿宋" w:hAnsi="仿宋" w:eastAsia="仿宋"/>
          <w:sz w:val="32"/>
          <w:szCs w:val="32"/>
        </w:rPr>
        <w:t>%</w:t>
      </w:r>
      <w:r>
        <w:rPr>
          <w:rFonts w:hint="eastAsia" w:ascii="仿宋" w:hAnsi="仿宋" w:eastAsia="仿宋"/>
          <w:sz w:val="32"/>
          <w:szCs w:val="32"/>
        </w:rPr>
        <w:t>。主要变动原因是2022年项目资金第三教学楼建设项目</w:t>
      </w:r>
    </w:p>
    <w:p w14:paraId="79F46875">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14:paraId="12540C76">
      <w:pPr>
        <w:spacing w:line="6000" w:lineRule="exact"/>
        <w:ind w:firstLine="640" w:firstLineChars="200"/>
        <w:rPr>
          <w:rFonts w:ascii="仿宋" w:hAnsi="仿宋" w:eastAsia="仿宋"/>
          <w:sz w:val="32"/>
          <w:szCs w:val="32"/>
        </w:rPr>
      </w:pPr>
      <w:r>
        <w:rPr>
          <w:rFonts w:ascii="仿宋" w:hAnsi="仿宋" w:eastAsia="仿宋"/>
          <w:sz w:val="32"/>
          <w:szCs w:val="32"/>
        </w:rPr>
        <w:drawing>
          <wp:inline distT="0" distB="0" distL="0" distR="0">
            <wp:extent cx="4238625" cy="2743200"/>
            <wp:effectExtent l="19050" t="0" r="9525" b="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1BB9A2">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3E63C8A2">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sz w:val="32"/>
          <w:szCs w:val="32"/>
        </w:rPr>
        <w:t>5820.25</w:t>
      </w:r>
      <w:r>
        <w:rPr>
          <w:rFonts w:hint="eastAsia" w:ascii="仿宋" w:hAnsi="仿宋" w:eastAsia="仿宋"/>
          <w:sz w:val="32"/>
          <w:szCs w:val="32"/>
        </w:rPr>
        <w:t>万元，主要用于以下方面：教育支出4903.83万元，占83.84</w:t>
      </w:r>
      <w:r>
        <w:rPr>
          <w:rFonts w:ascii="仿宋" w:hAnsi="仿宋" w:eastAsia="仿宋"/>
          <w:sz w:val="32"/>
          <w:szCs w:val="32"/>
        </w:rPr>
        <w:t>%</w:t>
      </w:r>
      <w:r>
        <w:rPr>
          <w:rFonts w:hint="eastAsia" w:ascii="仿宋" w:hAnsi="仿宋" w:eastAsia="仿宋"/>
          <w:sz w:val="32"/>
          <w:szCs w:val="32"/>
        </w:rPr>
        <w:t>；社会保障和就业支出599.15万元，占10</w:t>
      </w:r>
      <w:r>
        <w:rPr>
          <w:rFonts w:ascii="仿宋" w:hAnsi="仿宋" w:eastAsia="仿宋"/>
          <w:sz w:val="32"/>
          <w:szCs w:val="32"/>
        </w:rPr>
        <w:t>%</w:t>
      </w:r>
      <w:r>
        <w:rPr>
          <w:rFonts w:hint="eastAsia" w:ascii="仿宋" w:hAnsi="仿宋" w:eastAsia="仿宋"/>
          <w:sz w:val="32"/>
          <w:szCs w:val="32"/>
        </w:rPr>
        <w:t>；卫生健康支出222.19万元，占4</w:t>
      </w:r>
      <w:r>
        <w:rPr>
          <w:rFonts w:ascii="仿宋" w:hAnsi="仿宋" w:eastAsia="仿宋"/>
          <w:sz w:val="32"/>
          <w:szCs w:val="32"/>
        </w:rPr>
        <w:t>%</w:t>
      </w:r>
      <w:r>
        <w:rPr>
          <w:rFonts w:hint="eastAsia" w:ascii="仿宋" w:hAnsi="仿宋" w:eastAsia="仿宋"/>
          <w:sz w:val="32"/>
          <w:szCs w:val="32"/>
        </w:rPr>
        <w:t>；农林水支出1.38万元，住房保障支出93.7万元，占2</w:t>
      </w:r>
      <w:r>
        <w:rPr>
          <w:rFonts w:ascii="仿宋" w:hAnsi="仿宋" w:eastAsia="仿宋"/>
          <w:sz w:val="32"/>
          <w:szCs w:val="32"/>
        </w:rPr>
        <w:t>%</w:t>
      </w:r>
      <w:r>
        <w:rPr>
          <w:rFonts w:hint="eastAsia" w:ascii="仿宋" w:hAnsi="仿宋" w:eastAsia="仿宋"/>
          <w:sz w:val="32"/>
          <w:szCs w:val="32"/>
        </w:rPr>
        <w:t>。</w:t>
      </w:r>
    </w:p>
    <w:p w14:paraId="0A627E1F">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14:paraId="3C3623E4">
      <w:pPr>
        <w:spacing w:line="6000" w:lineRule="exact"/>
        <w:ind w:firstLine="640" w:firstLineChars="200"/>
        <w:rPr>
          <w:rFonts w:ascii="仿宋" w:hAnsi="仿宋" w:eastAsia="仿宋"/>
          <w:sz w:val="32"/>
          <w:szCs w:val="32"/>
        </w:rPr>
      </w:pPr>
      <w:r>
        <w:rPr>
          <w:rFonts w:ascii="仿宋" w:hAnsi="仿宋" w:eastAsia="仿宋"/>
          <w:sz w:val="32"/>
          <w:szCs w:val="32"/>
        </w:rPr>
        <w:drawing>
          <wp:inline distT="0" distB="0" distL="0" distR="0">
            <wp:extent cx="4572000" cy="2743200"/>
            <wp:effectExtent l="19050" t="0" r="19050" b="0"/>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9D6688">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5CF6E137">
      <w:pPr>
        <w:spacing w:line="600" w:lineRule="exact"/>
        <w:ind w:firstLine="640" w:firstLineChars="200"/>
        <w:outlineLvl w:val="2"/>
        <w:rPr>
          <w:rFonts w:ascii="仿宋" w:hAnsi="仿宋" w:eastAsia="仿宋"/>
          <w:bCs/>
          <w:sz w:val="32"/>
          <w:szCs w:val="32"/>
        </w:rPr>
      </w:pPr>
      <w:bookmarkStart w:id="31" w:name="_Toc15377213"/>
      <w:bookmarkStart w:id="32" w:name="_Toc15378460"/>
      <w:bookmarkStart w:id="33" w:name="_Toc15377444"/>
      <w:r>
        <w:rPr>
          <w:rFonts w:hint="eastAsia" w:ascii="仿宋" w:hAnsi="仿宋" w:eastAsia="仿宋"/>
          <w:bCs/>
          <w:sz w:val="32"/>
          <w:szCs w:val="32"/>
        </w:rPr>
        <w:t>2023年度一般公共预算支出决算数为</w:t>
      </w:r>
      <w:r>
        <w:rPr>
          <w:rFonts w:ascii="仿宋" w:hAnsi="仿宋" w:eastAsia="仿宋"/>
          <w:bCs/>
          <w:sz w:val="32"/>
          <w:szCs w:val="32"/>
        </w:rPr>
        <w:t>5820.25</w:t>
      </w:r>
      <w:r>
        <w:rPr>
          <w:rFonts w:hint="eastAsia" w:ascii="仿宋" w:hAnsi="仿宋" w:eastAsia="仿宋"/>
          <w:bCs/>
          <w:sz w:val="32"/>
          <w:szCs w:val="32"/>
          <w:lang w:eastAsia="zh-CN"/>
        </w:rPr>
        <w:t>万元</w:t>
      </w:r>
      <w:bookmarkStart w:id="67" w:name="_GoBack"/>
      <w:bookmarkEnd w:id="67"/>
      <w:r>
        <w:rPr>
          <w:rFonts w:hint="eastAsia" w:ascii="仿宋" w:hAnsi="仿宋" w:eastAsia="仿宋"/>
          <w:bCs/>
          <w:sz w:val="32"/>
          <w:szCs w:val="32"/>
        </w:rPr>
        <w:t>，</w:t>
      </w:r>
      <w:r>
        <w:rPr>
          <w:rStyle w:val="16"/>
          <w:rFonts w:hint="eastAsia" w:ascii="仿宋" w:hAnsi="仿宋" w:eastAsia="仿宋"/>
          <w:b w:val="0"/>
          <w:bCs/>
          <w:sz w:val="32"/>
          <w:szCs w:val="32"/>
        </w:rPr>
        <w:t>完成预算100</w:t>
      </w:r>
      <w:r>
        <w:rPr>
          <w:rStyle w:val="16"/>
          <w:rFonts w:ascii="仿宋" w:hAnsi="仿宋" w:eastAsia="仿宋"/>
          <w:b w:val="0"/>
          <w:bCs/>
          <w:sz w:val="32"/>
          <w:szCs w:val="32"/>
        </w:rPr>
        <w:t>%</w:t>
      </w:r>
      <w:r>
        <w:rPr>
          <w:rStyle w:val="16"/>
          <w:rFonts w:hint="eastAsia" w:ascii="仿宋" w:hAnsi="仿宋" w:eastAsia="仿宋"/>
          <w:b w:val="0"/>
          <w:bCs/>
          <w:sz w:val="32"/>
          <w:szCs w:val="32"/>
        </w:rPr>
        <w:t>。其中：</w:t>
      </w:r>
      <w:bookmarkEnd w:id="31"/>
      <w:bookmarkEnd w:id="32"/>
      <w:bookmarkEnd w:id="33"/>
    </w:p>
    <w:p w14:paraId="60541AF7">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1</w:t>
      </w:r>
      <w:r>
        <w:rPr>
          <w:rStyle w:val="16"/>
          <w:rFonts w:ascii="仿宋" w:hAnsi="仿宋" w:eastAsia="仿宋"/>
          <w:b w:val="0"/>
          <w:bCs/>
          <w:sz w:val="32"/>
          <w:szCs w:val="32"/>
        </w:rPr>
        <w:t>.</w:t>
      </w:r>
      <w:r>
        <w:rPr>
          <w:rStyle w:val="16"/>
          <w:rFonts w:hint="eastAsia" w:ascii="仿宋" w:hAnsi="仿宋" w:eastAsia="仿宋"/>
          <w:b w:val="0"/>
          <w:bCs/>
          <w:sz w:val="32"/>
          <w:szCs w:val="32"/>
        </w:rPr>
        <w:t>教育（类）普通教育（款）小学教育（项）：支出决算为72.58万元，完成预算100%，决算数与结算数持平。</w:t>
      </w:r>
    </w:p>
    <w:p w14:paraId="12835032">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2</w:t>
      </w:r>
      <w:r>
        <w:rPr>
          <w:rStyle w:val="16"/>
          <w:rFonts w:ascii="仿宋" w:hAnsi="仿宋" w:eastAsia="仿宋"/>
          <w:b w:val="0"/>
          <w:bCs/>
          <w:sz w:val="32"/>
          <w:szCs w:val="32"/>
        </w:rPr>
        <w:t>.</w:t>
      </w:r>
      <w:r>
        <w:rPr>
          <w:rStyle w:val="16"/>
          <w:rFonts w:hint="eastAsia" w:ascii="仿宋" w:hAnsi="仿宋" w:eastAsia="仿宋"/>
          <w:b w:val="0"/>
          <w:bCs/>
          <w:sz w:val="32"/>
          <w:szCs w:val="32"/>
        </w:rPr>
        <w:t>教育（类）普通教育（款）初中教育（项）：支出决算为2058.31万元，完成预算100%，决算数与结算数持平。</w:t>
      </w:r>
    </w:p>
    <w:p w14:paraId="25C765F1">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3</w:t>
      </w:r>
      <w:r>
        <w:rPr>
          <w:rStyle w:val="16"/>
          <w:rFonts w:ascii="仿宋" w:hAnsi="仿宋" w:eastAsia="仿宋"/>
          <w:b w:val="0"/>
          <w:bCs/>
          <w:sz w:val="32"/>
          <w:szCs w:val="32"/>
        </w:rPr>
        <w:t>.</w:t>
      </w:r>
      <w:r>
        <w:rPr>
          <w:rStyle w:val="16"/>
          <w:rFonts w:hint="eastAsia" w:ascii="仿宋" w:hAnsi="仿宋" w:eastAsia="仿宋"/>
          <w:b w:val="0"/>
          <w:bCs/>
          <w:sz w:val="32"/>
          <w:szCs w:val="32"/>
        </w:rPr>
        <w:t>教育（类）普通教育（款）高中教育（项）：支出决算为2766.73万元，完成预算100%，决算数与结算数持平。</w:t>
      </w:r>
    </w:p>
    <w:p w14:paraId="1987C024">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4</w:t>
      </w:r>
      <w:r>
        <w:rPr>
          <w:rStyle w:val="16"/>
          <w:rFonts w:ascii="仿宋" w:hAnsi="仿宋" w:eastAsia="仿宋"/>
          <w:b w:val="0"/>
          <w:bCs/>
          <w:sz w:val="32"/>
          <w:szCs w:val="32"/>
        </w:rPr>
        <w:t>.</w:t>
      </w:r>
      <w:r>
        <w:rPr>
          <w:rStyle w:val="16"/>
          <w:rFonts w:hint="eastAsia" w:ascii="仿宋" w:hAnsi="仿宋" w:eastAsia="仿宋"/>
          <w:b w:val="0"/>
          <w:bCs/>
          <w:sz w:val="32"/>
          <w:szCs w:val="32"/>
        </w:rPr>
        <w:t>教育（类）教育费附加安排的支出（款）其他教育费附加安排的支出（项）：支出决算为6.21万元，完成预算100%，决算数与结算数持平。</w:t>
      </w:r>
    </w:p>
    <w:p w14:paraId="75C338D0">
      <w:pPr>
        <w:spacing w:line="600" w:lineRule="exact"/>
        <w:ind w:firstLine="640" w:firstLineChars="200"/>
        <w:rPr>
          <w:rStyle w:val="16"/>
          <w:rFonts w:hint="eastAsia" w:ascii="仿宋" w:hAnsi="仿宋" w:eastAsia="仿宋"/>
          <w:b w:val="0"/>
          <w:bCs/>
          <w:sz w:val="32"/>
          <w:szCs w:val="32"/>
        </w:rPr>
      </w:pPr>
    </w:p>
    <w:p w14:paraId="3B20915C">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5</w:t>
      </w:r>
      <w:r>
        <w:rPr>
          <w:rStyle w:val="16"/>
          <w:rFonts w:ascii="仿宋" w:hAnsi="仿宋" w:eastAsia="仿宋"/>
          <w:b w:val="0"/>
          <w:bCs/>
          <w:sz w:val="32"/>
          <w:szCs w:val="32"/>
        </w:rPr>
        <w:t>.</w:t>
      </w:r>
      <w:r>
        <w:rPr>
          <w:rStyle w:val="16"/>
          <w:rFonts w:hint="eastAsia" w:ascii="仿宋" w:hAnsi="仿宋" w:eastAsia="仿宋"/>
          <w:b w:val="0"/>
          <w:bCs/>
          <w:sz w:val="32"/>
          <w:szCs w:val="32"/>
        </w:rPr>
        <w:t>社会保障和就业（类）行政事业单位养老支出（款）事业单位离退休支出（项）：支出决算为8.26万元，完成预算100%，决算数与结算数持平。</w:t>
      </w:r>
    </w:p>
    <w:p w14:paraId="1EC57C1D">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6</w:t>
      </w:r>
      <w:r>
        <w:rPr>
          <w:rStyle w:val="16"/>
          <w:rFonts w:ascii="仿宋" w:hAnsi="仿宋" w:eastAsia="仿宋"/>
          <w:b w:val="0"/>
          <w:bCs/>
          <w:sz w:val="32"/>
          <w:szCs w:val="32"/>
        </w:rPr>
        <w:t>.</w:t>
      </w:r>
      <w:r>
        <w:rPr>
          <w:rStyle w:val="16"/>
          <w:rFonts w:hint="eastAsia" w:ascii="仿宋" w:hAnsi="仿宋" w:eastAsia="仿宋"/>
          <w:b w:val="0"/>
          <w:bCs/>
          <w:sz w:val="32"/>
          <w:szCs w:val="32"/>
        </w:rPr>
        <w:t>社会保障和就业（类）行政事业单位养老支出（款）机关事业单位基本养老保险缴费支出（项）：支出决算为576.09万元，完成预算100%，决算数与结算数持平。</w:t>
      </w:r>
    </w:p>
    <w:p w14:paraId="18040E05">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7</w:t>
      </w:r>
      <w:r>
        <w:rPr>
          <w:rStyle w:val="16"/>
          <w:rFonts w:ascii="仿宋" w:hAnsi="仿宋" w:eastAsia="仿宋"/>
          <w:b w:val="0"/>
          <w:bCs/>
          <w:sz w:val="32"/>
          <w:szCs w:val="32"/>
        </w:rPr>
        <w:t>.</w:t>
      </w:r>
      <w:r>
        <w:rPr>
          <w:rStyle w:val="16"/>
          <w:rFonts w:hint="eastAsia" w:ascii="仿宋" w:hAnsi="仿宋" w:eastAsia="仿宋"/>
          <w:b w:val="0"/>
          <w:bCs/>
          <w:sz w:val="32"/>
          <w:szCs w:val="32"/>
        </w:rPr>
        <w:t>社会保障和就业（类）其他社会保障和就业支出（款）其他社会保障和就业支出（项）：支出决算为14.8万元，完成预算100%，决算数与结算数持平。</w:t>
      </w:r>
    </w:p>
    <w:p w14:paraId="121E1625">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8</w:t>
      </w:r>
      <w:r>
        <w:rPr>
          <w:rStyle w:val="16"/>
          <w:rFonts w:ascii="仿宋" w:hAnsi="仿宋" w:eastAsia="仿宋"/>
          <w:b w:val="0"/>
          <w:bCs/>
          <w:sz w:val="32"/>
          <w:szCs w:val="32"/>
        </w:rPr>
        <w:t>.</w:t>
      </w:r>
      <w:r>
        <w:rPr>
          <w:rFonts w:hint="eastAsia" w:ascii="仿宋" w:hAnsi="仿宋" w:eastAsia="仿宋"/>
          <w:bCs/>
          <w:sz w:val="32"/>
          <w:szCs w:val="32"/>
        </w:rPr>
        <w:t>卫生健康</w:t>
      </w:r>
      <w:r>
        <w:rPr>
          <w:rStyle w:val="16"/>
          <w:rFonts w:hint="eastAsia" w:ascii="仿宋" w:hAnsi="仿宋" w:eastAsia="仿宋"/>
          <w:b w:val="0"/>
          <w:bCs/>
          <w:sz w:val="32"/>
          <w:szCs w:val="32"/>
        </w:rPr>
        <w:t>（类）行政事业单位医疗（款）事业单位医疗（项）：支出决算为1.12万元，完成预算100%，决算数与结算数持平。</w:t>
      </w:r>
    </w:p>
    <w:p w14:paraId="7039F719">
      <w:pPr>
        <w:spacing w:line="600" w:lineRule="exact"/>
        <w:ind w:firstLine="640" w:firstLineChars="200"/>
        <w:rPr>
          <w:rFonts w:ascii="仿宋" w:hAnsi="仿宋" w:eastAsia="仿宋"/>
          <w:bCs/>
          <w:sz w:val="32"/>
          <w:szCs w:val="32"/>
        </w:rPr>
      </w:pPr>
      <w:r>
        <w:rPr>
          <w:rStyle w:val="16"/>
          <w:rFonts w:hint="eastAsia" w:ascii="仿宋" w:hAnsi="仿宋" w:eastAsia="仿宋"/>
          <w:b w:val="0"/>
          <w:bCs/>
          <w:sz w:val="32"/>
          <w:szCs w:val="32"/>
        </w:rPr>
        <w:t>9</w:t>
      </w:r>
      <w:r>
        <w:rPr>
          <w:rStyle w:val="16"/>
          <w:rFonts w:ascii="仿宋" w:hAnsi="仿宋" w:eastAsia="仿宋"/>
          <w:b w:val="0"/>
          <w:bCs/>
          <w:sz w:val="32"/>
          <w:szCs w:val="32"/>
        </w:rPr>
        <w:t>.</w:t>
      </w:r>
      <w:r>
        <w:rPr>
          <w:rFonts w:hint="eastAsia" w:ascii="仿宋" w:hAnsi="仿宋" w:eastAsia="仿宋"/>
          <w:bCs/>
          <w:sz w:val="32"/>
          <w:szCs w:val="32"/>
        </w:rPr>
        <w:t>卫生健康</w:t>
      </w:r>
      <w:r>
        <w:rPr>
          <w:rStyle w:val="16"/>
          <w:rFonts w:hint="eastAsia" w:ascii="仿宋" w:hAnsi="仿宋" w:eastAsia="仿宋"/>
          <w:b w:val="0"/>
          <w:bCs/>
          <w:sz w:val="32"/>
          <w:szCs w:val="32"/>
        </w:rPr>
        <w:t>（类）行政事业单位医疗（款）其他行政事业单位医疗支出（项）：支出决算为221.07万元，完成预算100%，决算数与结算数持平。</w:t>
      </w:r>
    </w:p>
    <w:p w14:paraId="344B88AB">
      <w:pPr>
        <w:tabs>
          <w:tab w:val="left" w:pos="2410"/>
        </w:tabs>
        <w:spacing w:line="600" w:lineRule="exact"/>
        <w:ind w:firstLine="640"/>
        <w:rPr>
          <w:rFonts w:ascii="仿宋" w:hAnsi="仿宋" w:eastAsia="仿宋"/>
          <w:bCs/>
          <w:sz w:val="32"/>
          <w:szCs w:val="32"/>
        </w:rPr>
      </w:pPr>
      <w:r>
        <w:rPr>
          <w:rFonts w:hint="eastAsia" w:ascii="仿宋" w:hAnsi="仿宋" w:eastAsia="仿宋"/>
          <w:bCs/>
          <w:sz w:val="32"/>
          <w:szCs w:val="32"/>
        </w:rPr>
        <w:t>10.农林水</w:t>
      </w:r>
      <w:r>
        <w:rPr>
          <w:rStyle w:val="16"/>
          <w:rFonts w:hint="eastAsia" w:ascii="仿宋" w:hAnsi="仿宋" w:eastAsia="仿宋"/>
          <w:b w:val="0"/>
          <w:bCs/>
          <w:sz w:val="32"/>
          <w:szCs w:val="32"/>
        </w:rPr>
        <w:t>（类）巩固</w:t>
      </w:r>
      <w:r>
        <w:rPr>
          <w:rStyle w:val="16"/>
          <w:rFonts w:hint="eastAsia" w:ascii="仿宋" w:hAnsi="仿宋" w:eastAsia="仿宋"/>
          <w:b w:val="0"/>
          <w:bCs/>
          <w:sz w:val="32"/>
          <w:szCs w:val="32"/>
          <w:lang w:eastAsia="zh-CN"/>
        </w:rPr>
        <w:t>拓展</w:t>
      </w:r>
      <w:r>
        <w:rPr>
          <w:rStyle w:val="16"/>
          <w:rFonts w:hint="eastAsia" w:ascii="仿宋" w:hAnsi="仿宋" w:eastAsia="仿宋"/>
          <w:b w:val="0"/>
          <w:bCs/>
          <w:sz w:val="32"/>
          <w:szCs w:val="32"/>
        </w:rPr>
        <w:t>脱贫攻坚成果衔接乡村振兴（款）社会发展（项）：</w:t>
      </w:r>
      <w:r>
        <w:rPr>
          <w:rFonts w:hint="eastAsia" w:ascii="仿宋" w:hAnsi="仿宋" w:eastAsia="仿宋"/>
          <w:bCs/>
          <w:sz w:val="32"/>
          <w:szCs w:val="32"/>
        </w:rPr>
        <w:t>支出</w:t>
      </w:r>
      <w:r>
        <w:rPr>
          <w:rStyle w:val="16"/>
          <w:rFonts w:hint="eastAsia" w:ascii="仿宋" w:hAnsi="仿宋" w:eastAsia="仿宋"/>
          <w:b w:val="0"/>
          <w:bCs/>
          <w:sz w:val="32"/>
          <w:szCs w:val="32"/>
        </w:rPr>
        <w:t>决算为</w:t>
      </w:r>
      <w:r>
        <w:rPr>
          <w:rFonts w:hint="eastAsia" w:ascii="仿宋" w:hAnsi="仿宋" w:eastAsia="仿宋"/>
          <w:bCs/>
          <w:sz w:val="32"/>
          <w:szCs w:val="32"/>
        </w:rPr>
        <w:t>1.38</w:t>
      </w:r>
      <w:r>
        <w:rPr>
          <w:rStyle w:val="16"/>
          <w:rFonts w:hint="eastAsia" w:ascii="仿宋" w:hAnsi="仿宋" w:eastAsia="仿宋"/>
          <w:b w:val="0"/>
          <w:bCs/>
          <w:sz w:val="32"/>
          <w:szCs w:val="32"/>
        </w:rPr>
        <w:t>万元，完成预算100%，决算数与结算数持平</w:t>
      </w:r>
      <w:r>
        <w:rPr>
          <w:rStyle w:val="16"/>
          <w:rFonts w:ascii="仿宋" w:hAnsi="仿宋" w:eastAsia="仿宋"/>
          <w:b w:val="0"/>
          <w:bCs/>
          <w:sz w:val="32"/>
          <w:szCs w:val="32"/>
        </w:rPr>
        <w:t>。</w:t>
      </w:r>
    </w:p>
    <w:p w14:paraId="11B514D0">
      <w:pPr>
        <w:tabs>
          <w:tab w:val="left" w:pos="2410"/>
        </w:tabs>
        <w:spacing w:line="600" w:lineRule="exact"/>
        <w:ind w:firstLine="640"/>
        <w:rPr>
          <w:rFonts w:ascii="仿宋" w:hAnsi="仿宋" w:eastAsia="仿宋"/>
          <w:bCs/>
          <w:sz w:val="32"/>
          <w:szCs w:val="32"/>
        </w:rPr>
      </w:pPr>
      <w:r>
        <w:rPr>
          <w:rFonts w:hint="eastAsia" w:ascii="仿宋" w:hAnsi="仿宋" w:eastAsia="仿宋"/>
          <w:bCs/>
          <w:sz w:val="32"/>
          <w:szCs w:val="32"/>
        </w:rPr>
        <w:t>11.住房保障</w:t>
      </w:r>
      <w:r>
        <w:rPr>
          <w:rStyle w:val="16"/>
          <w:rFonts w:hint="eastAsia" w:ascii="仿宋" w:hAnsi="仿宋" w:eastAsia="仿宋"/>
          <w:b w:val="0"/>
          <w:bCs/>
          <w:sz w:val="32"/>
          <w:szCs w:val="32"/>
        </w:rPr>
        <w:t>（类）住房改革支出（款）住房公积金（项）：</w:t>
      </w:r>
      <w:r>
        <w:rPr>
          <w:rFonts w:hint="eastAsia" w:ascii="仿宋" w:hAnsi="仿宋" w:eastAsia="仿宋"/>
          <w:bCs/>
          <w:sz w:val="32"/>
          <w:szCs w:val="32"/>
        </w:rPr>
        <w:t>支出</w:t>
      </w:r>
      <w:r>
        <w:rPr>
          <w:rStyle w:val="16"/>
          <w:rFonts w:hint="eastAsia" w:ascii="仿宋" w:hAnsi="仿宋" w:eastAsia="仿宋"/>
          <w:b w:val="0"/>
          <w:bCs/>
          <w:sz w:val="32"/>
          <w:szCs w:val="32"/>
        </w:rPr>
        <w:t>决算为</w:t>
      </w:r>
      <w:r>
        <w:rPr>
          <w:rFonts w:hint="eastAsia" w:ascii="仿宋" w:hAnsi="仿宋" w:eastAsia="仿宋"/>
          <w:bCs/>
          <w:sz w:val="32"/>
          <w:szCs w:val="32"/>
        </w:rPr>
        <w:t>93.7万元，</w:t>
      </w:r>
      <w:r>
        <w:rPr>
          <w:rStyle w:val="16"/>
          <w:rFonts w:hint="eastAsia" w:ascii="仿宋" w:hAnsi="仿宋" w:eastAsia="仿宋"/>
          <w:b w:val="0"/>
          <w:bCs/>
          <w:sz w:val="32"/>
          <w:szCs w:val="32"/>
        </w:rPr>
        <w:t>完成预算100%，决算数与结算数持平。</w:t>
      </w:r>
    </w:p>
    <w:p w14:paraId="2136C85D">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14:paraId="3EA8061D">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5502.69</w:t>
      </w:r>
      <w:r>
        <w:rPr>
          <w:rFonts w:hint="eastAsia" w:ascii="仿宋" w:hAnsi="仿宋" w:eastAsia="仿宋"/>
          <w:sz w:val="32"/>
          <w:szCs w:val="32"/>
        </w:rPr>
        <w:t>万元，其中：</w:t>
      </w:r>
    </w:p>
    <w:p w14:paraId="1F707021">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5144.02</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358.67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36634B2">
      <w:pPr>
        <w:spacing w:line="600" w:lineRule="exact"/>
        <w:ind w:firstLine="640"/>
        <w:outlineLvl w:val="1"/>
        <w:rPr>
          <w:rStyle w:val="28"/>
          <w:rFonts w:ascii="黑体" w:hAnsi="黑体" w:eastAsia="黑体"/>
          <w:b w:val="0"/>
        </w:rPr>
      </w:pPr>
      <w:bookmarkStart w:id="36" w:name="_Toc15396609"/>
      <w:bookmarkStart w:id="37"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14:paraId="492118FF">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4BD2FCB0">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1663A5C5">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657B6B12">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5B2627D7">
      <w:pPr>
        <w:spacing w:line="600" w:lineRule="exact"/>
        <w:ind w:firstLine="640"/>
        <w:rPr>
          <w:rFonts w:ascii="仿宋_GB2312" w:eastAsia="仿宋_GB2312"/>
          <w:sz w:val="32"/>
          <w:szCs w:val="32"/>
        </w:rPr>
      </w:pPr>
      <w:bookmarkStart w:id="40" w:name="_Toc15396610"/>
      <w:bookmarkStart w:id="41"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14:paraId="5BC027DB">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2161AE9B">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w:t>
      </w:r>
    </w:p>
    <w:p w14:paraId="6FED2E78">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0CE87931">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p>
    <w:p w14:paraId="54E99B8A">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p>
    <w:p w14:paraId="660CA123">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35BDE00F">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14:paraId="023C9CF6">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20850A87">
      <w:pPr>
        <w:numPr>
          <w:ilvl w:val="0"/>
          <w:numId w:val="2"/>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14:paraId="2935B841">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0154C0D6">
      <w:pPr>
        <w:numPr>
          <w:ilvl w:val="0"/>
          <w:numId w:val="2"/>
        </w:numPr>
        <w:spacing w:line="600" w:lineRule="exact"/>
        <w:ind w:firstLine="640"/>
        <w:outlineLvl w:val="1"/>
        <w:rPr>
          <w:rStyle w:val="28"/>
          <w:rFonts w:ascii="黑体" w:hAnsi="黑体" w:eastAsia="黑体"/>
          <w:b w:val="0"/>
        </w:rPr>
      </w:pPr>
      <w:bookmarkStart w:id="44" w:name="_Toc15377221"/>
      <w:bookmarkStart w:id="45" w:name="_Toc15396612"/>
      <w:r>
        <w:rPr>
          <w:rStyle w:val="28"/>
          <w:rFonts w:hint="eastAsia" w:ascii="黑体" w:hAnsi="黑体" w:eastAsia="黑体"/>
          <w:b w:val="0"/>
        </w:rPr>
        <w:t>其他重要事项的情况说明</w:t>
      </w:r>
      <w:bookmarkEnd w:id="44"/>
      <w:bookmarkEnd w:id="45"/>
    </w:p>
    <w:p w14:paraId="4E4B5974">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085CC3A6">
      <w:pPr>
        <w:spacing w:line="600" w:lineRule="exact"/>
        <w:ind w:firstLine="640" w:firstLineChars="200"/>
        <w:rPr>
          <w:rFonts w:ascii="仿宋" w:hAnsi="仿宋" w:eastAsia="仿宋"/>
          <w:sz w:val="32"/>
          <w:szCs w:val="32"/>
        </w:rPr>
      </w:pPr>
      <w:r>
        <w:rPr>
          <w:rFonts w:hint="eastAsia" w:ascii="仿宋_GB2312" w:eastAsia="仿宋_GB2312"/>
          <w:sz w:val="32"/>
          <w:szCs w:val="32"/>
        </w:rPr>
        <w:t>2023年度，</w:t>
      </w:r>
      <w:r>
        <w:rPr>
          <w:rFonts w:ascii="仿宋_GB2312" w:eastAsia="仿宋_GB2312"/>
          <w:sz w:val="32"/>
          <w:szCs w:val="32"/>
        </w:rPr>
        <w:t>四川省射洪市太和中学</w:t>
      </w:r>
      <w:r>
        <w:rPr>
          <w:rFonts w:hint="eastAsia" w:ascii="仿宋_GB2312" w:eastAsia="仿宋_GB2312"/>
          <w:sz w:val="32"/>
          <w:szCs w:val="32"/>
        </w:rPr>
        <w:t>机关运行经费支出</w:t>
      </w:r>
      <w:r>
        <w:rPr>
          <w:rFonts w:ascii="仿宋" w:hAnsi="仿宋" w:eastAsia="仿宋"/>
          <w:sz w:val="32"/>
          <w:szCs w:val="32"/>
        </w:rPr>
        <w:t>0</w:t>
      </w:r>
      <w:r>
        <w:rPr>
          <w:rFonts w:hint="eastAsia" w:ascii="仿宋_GB2312" w:eastAsia="仿宋_GB2312"/>
          <w:sz w:val="32"/>
          <w:szCs w:val="32"/>
        </w:rPr>
        <w:t>万元。</w:t>
      </w:r>
    </w:p>
    <w:p w14:paraId="6CF6102E">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35BE1416">
      <w:pPr>
        <w:spacing w:line="600" w:lineRule="exact"/>
        <w:ind w:firstLine="640" w:firstLineChars="200"/>
        <w:rPr>
          <w:rFonts w:ascii="仿宋_GB2312" w:eastAsia="仿宋_GB2312"/>
          <w:sz w:val="32"/>
          <w:szCs w:val="32"/>
        </w:rPr>
      </w:pPr>
      <w:r>
        <w:rPr>
          <w:rFonts w:ascii="仿宋_GB2312" w:eastAsia="仿宋_GB2312"/>
          <w:sz w:val="32"/>
          <w:szCs w:val="32"/>
        </w:rPr>
        <w:t>四川省射洪市太和中学</w:t>
      </w:r>
      <w:r>
        <w:rPr>
          <w:rFonts w:hint="eastAsia" w:ascii="仿宋_GB2312" w:eastAsia="仿宋_GB2312"/>
          <w:sz w:val="32"/>
          <w:szCs w:val="32"/>
        </w:rPr>
        <w:t>2023年度政府采购支出总额</w:t>
      </w:r>
      <w:r>
        <w:rPr>
          <w:rFonts w:ascii="仿宋" w:hAnsi="仿宋" w:eastAsia="仿宋"/>
          <w:sz w:val="32"/>
          <w:szCs w:val="32"/>
        </w:rPr>
        <w:t>0</w:t>
      </w:r>
      <w:r>
        <w:rPr>
          <w:rFonts w:hint="eastAsia" w:ascii="仿宋_GB2312" w:eastAsia="仿宋_GB2312"/>
          <w:sz w:val="32"/>
          <w:szCs w:val="32"/>
        </w:rPr>
        <w:t>万元，其中：政府采购货物支出</w:t>
      </w:r>
      <w:r>
        <w:rPr>
          <w:rFonts w:ascii="仿宋" w:hAnsi="仿宋" w:eastAsia="仿宋"/>
          <w:sz w:val="32"/>
          <w:szCs w:val="32"/>
        </w:rPr>
        <w:t>0</w:t>
      </w:r>
      <w:r>
        <w:rPr>
          <w:rFonts w:hint="eastAsia" w:ascii="仿宋_GB2312" w:eastAsia="仿宋_GB2312"/>
          <w:sz w:val="32"/>
          <w:szCs w:val="32"/>
        </w:rPr>
        <w:t>万元、政府采购工程支出</w:t>
      </w:r>
      <w:r>
        <w:rPr>
          <w:rFonts w:ascii="仿宋" w:hAnsi="仿宋" w:eastAsia="仿宋"/>
          <w:sz w:val="32"/>
          <w:szCs w:val="32"/>
        </w:rPr>
        <w:t>0</w:t>
      </w:r>
      <w:r>
        <w:rPr>
          <w:rFonts w:hint="eastAsia" w:ascii="仿宋_GB2312" w:eastAsia="仿宋_GB2312"/>
          <w:sz w:val="32"/>
          <w:szCs w:val="32"/>
        </w:rPr>
        <w:t>万元、政府采购服务支出</w:t>
      </w:r>
      <w:r>
        <w:rPr>
          <w:rFonts w:ascii="仿宋" w:hAnsi="仿宋" w:eastAsia="仿宋"/>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14:paraId="3A25582A">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6536C220">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sz w:val="32"/>
          <w:szCs w:val="32"/>
        </w:rPr>
        <w:t>四川省射洪市太和中学</w:t>
      </w:r>
      <w:r>
        <w:rPr>
          <w:rFonts w:hint="eastAsia" w:ascii="仿宋_GB2312" w:eastAsia="仿宋_GB2312"/>
          <w:sz w:val="32"/>
          <w:szCs w:val="32"/>
        </w:rPr>
        <w:t>共有车辆0辆，单价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sz w:val="32"/>
          <w:szCs w:val="32"/>
        </w:rPr>
        <w:t>0</w:t>
      </w:r>
      <w:r>
        <w:rPr>
          <w:rFonts w:hint="eastAsia" w:ascii="仿宋_GB2312" w:eastAsia="仿宋_GB2312"/>
          <w:sz w:val="32"/>
          <w:szCs w:val="32"/>
        </w:rPr>
        <w:t>台（套）。</w:t>
      </w:r>
    </w:p>
    <w:p w14:paraId="645713E7">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32B831C">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根据预算绩效管理要求，本部门（单位）在年初预算编制阶段，组织对助学金项目（项目名称）开展了预算事前绩效评估，对助学金项目编制了绩效目标，预算执行过程中，选取助学金项目开展绩效监控，年终执行完毕后，对助学金项目开展了绩效目标完成情况自评。</w:t>
      </w:r>
    </w:p>
    <w:p w14:paraId="5340BC9A">
      <w:pPr>
        <w:ind w:firstLine="640" w:firstLineChars="200"/>
        <w:rPr>
          <w:rFonts w:ascii="仿宋" w:hAnsi="仿宋" w:eastAsia="仿宋" w:cs="仿宋"/>
          <w:sz w:val="32"/>
          <w:szCs w:val="32"/>
        </w:rPr>
      </w:pPr>
      <w:r>
        <w:rPr>
          <w:rFonts w:hint="eastAsia" w:ascii="仿宋" w:hAnsi="仿宋" w:eastAsia="仿宋" w:cs="仿宋"/>
          <w:sz w:val="32"/>
          <w:szCs w:val="32"/>
        </w:rPr>
        <w:t>本部门按要求对2023年部门整体支出开展绩效自评，从评价情况来看学校无政府性债务，非税收入做到了应收尽收，并及时存入财政非税收入专户，政府采购按程序开展进行，资产管理有效开展。建立有相关的内控管理制度，财务信息资料及时公示公开，并接受了财政等上级部门的监督检查。本部门无专项预算项目，因此本部门未组织开展项目支出绩效评价。</w:t>
      </w:r>
    </w:p>
    <w:p w14:paraId="1A1F103E">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0796611E">
      <w:pPr>
        <w:numPr>
          <w:ilvl w:val="0"/>
          <w:numId w:val="3"/>
        </w:numPr>
        <w:spacing w:line="600" w:lineRule="exact"/>
        <w:ind w:firstLine="660" w:firstLineChars="150"/>
        <w:jc w:val="center"/>
        <w:outlineLvl w:val="0"/>
        <w:rPr>
          <w:rStyle w:val="27"/>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7"/>
          <w:rFonts w:hint="eastAsia" w:ascii="黑体" w:hAnsi="黑体" w:eastAsia="黑体"/>
          <w:b w:val="0"/>
        </w:rPr>
        <w:t>词解释</w:t>
      </w:r>
      <w:bookmarkEnd w:id="49"/>
      <w:bookmarkEnd w:id="50"/>
    </w:p>
    <w:p w14:paraId="51419709">
      <w:pPr>
        <w:spacing w:line="600" w:lineRule="exact"/>
        <w:jc w:val="left"/>
        <w:rPr>
          <w:rFonts w:ascii="宋体"/>
          <w:b/>
          <w:sz w:val="44"/>
          <w:szCs w:val="44"/>
        </w:rPr>
      </w:pPr>
    </w:p>
    <w:p w14:paraId="73359D3D">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76B7A62">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2</w:t>
      </w:r>
      <w:r>
        <w:rPr>
          <w:rStyle w:val="16"/>
          <w:rFonts w:ascii="仿宋" w:hAnsi="仿宋" w:eastAsia="仿宋"/>
          <w:b w:val="0"/>
          <w:bCs/>
          <w:sz w:val="32"/>
          <w:szCs w:val="32"/>
        </w:rPr>
        <w:t>.</w:t>
      </w:r>
      <w:r>
        <w:rPr>
          <w:rStyle w:val="16"/>
          <w:rFonts w:hint="eastAsia" w:ascii="仿宋" w:hAnsi="仿宋" w:eastAsia="仿宋"/>
          <w:b w:val="0"/>
          <w:bCs/>
          <w:sz w:val="32"/>
          <w:szCs w:val="32"/>
        </w:rPr>
        <w:t>教育（类）普通教育（款）小学教育（项）：小学教育</w:t>
      </w:r>
    </w:p>
    <w:p w14:paraId="14A8DBAA">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3</w:t>
      </w:r>
      <w:r>
        <w:rPr>
          <w:rStyle w:val="16"/>
          <w:rFonts w:ascii="仿宋" w:hAnsi="仿宋" w:eastAsia="仿宋"/>
          <w:b w:val="0"/>
          <w:bCs/>
          <w:sz w:val="32"/>
          <w:szCs w:val="32"/>
        </w:rPr>
        <w:t>.</w:t>
      </w:r>
      <w:r>
        <w:rPr>
          <w:rStyle w:val="16"/>
          <w:rFonts w:hint="eastAsia" w:ascii="仿宋" w:hAnsi="仿宋" w:eastAsia="仿宋"/>
          <w:b w:val="0"/>
          <w:bCs/>
          <w:sz w:val="32"/>
          <w:szCs w:val="32"/>
        </w:rPr>
        <w:t>教育（类）普通教育（款）初中教育（项）：初中教育。</w:t>
      </w:r>
    </w:p>
    <w:p w14:paraId="00C27045">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4</w:t>
      </w:r>
      <w:r>
        <w:rPr>
          <w:rStyle w:val="16"/>
          <w:rFonts w:ascii="仿宋" w:hAnsi="仿宋" w:eastAsia="仿宋"/>
          <w:b w:val="0"/>
          <w:bCs/>
          <w:sz w:val="32"/>
          <w:szCs w:val="32"/>
        </w:rPr>
        <w:t>.</w:t>
      </w:r>
      <w:r>
        <w:rPr>
          <w:rStyle w:val="16"/>
          <w:rFonts w:hint="eastAsia" w:ascii="仿宋" w:hAnsi="仿宋" w:eastAsia="仿宋"/>
          <w:b w:val="0"/>
          <w:bCs/>
          <w:sz w:val="32"/>
          <w:szCs w:val="32"/>
        </w:rPr>
        <w:t>教育（类）普通教育（款）高中教育（项）：高中教育。</w:t>
      </w:r>
    </w:p>
    <w:p w14:paraId="75A3B248">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5</w:t>
      </w:r>
      <w:r>
        <w:rPr>
          <w:rStyle w:val="16"/>
          <w:rFonts w:ascii="仿宋" w:hAnsi="仿宋" w:eastAsia="仿宋"/>
          <w:b w:val="0"/>
          <w:bCs/>
          <w:sz w:val="32"/>
          <w:szCs w:val="32"/>
        </w:rPr>
        <w:t>.</w:t>
      </w:r>
      <w:r>
        <w:rPr>
          <w:rStyle w:val="16"/>
          <w:rFonts w:hint="eastAsia" w:ascii="仿宋" w:hAnsi="仿宋" w:eastAsia="仿宋"/>
          <w:b w:val="0"/>
          <w:bCs/>
          <w:sz w:val="32"/>
          <w:szCs w:val="32"/>
        </w:rPr>
        <w:t>教育（类）教育费附加安排的支出（款）其他教育费附加安排的支出（项）：其他教育费附加安排的支出。</w:t>
      </w:r>
    </w:p>
    <w:p w14:paraId="182DCF9B">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6</w:t>
      </w:r>
      <w:r>
        <w:rPr>
          <w:rStyle w:val="16"/>
          <w:rFonts w:ascii="仿宋" w:hAnsi="仿宋" w:eastAsia="仿宋"/>
          <w:b w:val="0"/>
          <w:bCs/>
          <w:sz w:val="32"/>
          <w:szCs w:val="32"/>
        </w:rPr>
        <w:t>.</w:t>
      </w:r>
      <w:r>
        <w:rPr>
          <w:rStyle w:val="16"/>
          <w:rFonts w:hint="eastAsia" w:ascii="仿宋" w:hAnsi="仿宋" w:eastAsia="仿宋"/>
          <w:b w:val="0"/>
          <w:bCs/>
          <w:sz w:val="32"/>
          <w:szCs w:val="32"/>
        </w:rPr>
        <w:t>社会保障和就业（类）行政事业单位养老支出（款）事业单位离退休支出（项）：事业单位离退休支出。</w:t>
      </w:r>
    </w:p>
    <w:p w14:paraId="4376DBD8">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7</w:t>
      </w:r>
      <w:r>
        <w:rPr>
          <w:rStyle w:val="16"/>
          <w:rFonts w:ascii="仿宋" w:hAnsi="仿宋" w:eastAsia="仿宋"/>
          <w:b w:val="0"/>
          <w:bCs/>
          <w:sz w:val="32"/>
          <w:szCs w:val="32"/>
        </w:rPr>
        <w:t>.</w:t>
      </w:r>
      <w:r>
        <w:rPr>
          <w:rStyle w:val="16"/>
          <w:rFonts w:hint="eastAsia" w:ascii="仿宋" w:hAnsi="仿宋" w:eastAsia="仿宋"/>
          <w:b w:val="0"/>
          <w:bCs/>
          <w:sz w:val="32"/>
          <w:szCs w:val="32"/>
        </w:rPr>
        <w:t>社会保障和就业（类）行政事业单位养老支出（款）机关事业单位基本养老保险缴费支出（项）：机关事业单位基本养老保险缴费支出。</w:t>
      </w:r>
    </w:p>
    <w:p w14:paraId="76465FC5">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8</w:t>
      </w:r>
      <w:r>
        <w:rPr>
          <w:rStyle w:val="16"/>
          <w:rFonts w:ascii="仿宋" w:hAnsi="仿宋" w:eastAsia="仿宋"/>
          <w:b w:val="0"/>
          <w:bCs/>
          <w:sz w:val="32"/>
          <w:szCs w:val="32"/>
        </w:rPr>
        <w:t>.</w:t>
      </w:r>
      <w:r>
        <w:rPr>
          <w:rStyle w:val="16"/>
          <w:rFonts w:hint="eastAsia" w:ascii="仿宋" w:hAnsi="仿宋" w:eastAsia="仿宋"/>
          <w:b w:val="0"/>
          <w:bCs/>
          <w:sz w:val="32"/>
          <w:szCs w:val="32"/>
        </w:rPr>
        <w:t>社会保障和就业（类）其他社会保障和就业支出（款）其他社会保障和就业支出（项）：其他社会保障和就业支出。</w:t>
      </w:r>
    </w:p>
    <w:p w14:paraId="4BC13BD2">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rPr>
        <w:t>9</w:t>
      </w:r>
      <w:r>
        <w:rPr>
          <w:rStyle w:val="16"/>
          <w:rFonts w:ascii="仿宋" w:hAnsi="仿宋" w:eastAsia="仿宋"/>
          <w:b w:val="0"/>
          <w:bCs/>
          <w:sz w:val="32"/>
          <w:szCs w:val="32"/>
        </w:rPr>
        <w:t>.</w:t>
      </w:r>
      <w:r>
        <w:rPr>
          <w:rFonts w:hint="eastAsia" w:ascii="仿宋" w:hAnsi="仿宋" w:eastAsia="仿宋"/>
          <w:bCs/>
          <w:sz w:val="32"/>
          <w:szCs w:val="32"/>
        </w:rPr>
        <w:t>卫生健康</w:t>
      </w:r>
      <w:r>
        <w:rPr>
          <w:rStyle w:val="16"/>
          <w:rFonts w:hint="eastAsia" w:ascii="仿宋" w:hAnsi="仿宋" w:eastAsia="仿宋"/>
          <w:b w:val="0"/>
          <w:bCs/>
          <w:sz w:val="32"/>
          <w:szCs w:val="32"/>
        </w:rPr>
        <w:t>（类）行政事业单位医疗（款）事业单位医疗（项）：事业单位医疗。</w:t>
      </w:r>
    </w:p>
    <w:p w14:paraId="12FD51DA">
      <w:pPr>
        <w:spacing w:line="600" w:lineRule="exact"/>
        <w:ind w:firstLine="640" w:firstLineChars="200"/>
        <w:rPr>
          <w:rFonts w:ascii="仿宋" w:hAnsi="仿宋" w:eastAsia="仿宋"/>
          <w:bCs/>
          <w:sz w:val="32"/>
          <w:szCs w:val="32"/>
        </w:rPr>
      </w:pPr>
      <w:r>
        <w:rPr>
          <w:rStyle w:val="16"/>
          <w:rFonts w:hint="eastAsia" w:ascii="仿宋" w:hAnsi="仿宋" w:eastAsia="仿宋"/>
          <w:b w:val="0"/>
          <w:bCs/>
          <w:sz w:val="32"/>
          <w:szCs w:val="32"/>
        </w:rPr>
        <w:t>10</w:t>
      </w:r>
      <w:r>
        <w:rPr>
          <w:rStyle w:val="16"/>
          <w:rFonts w:ascii="仿宋" w:hAnsi="仿宋" w:eastAsia="仿宋"/>
          <w:b w:val="0"/>
          <w:bCs/>
          <w:sz w:val="32"/>
          <w:szCs w:val="32"/>
        </w:rPr>
        <w:t>.</w:t>
      </w:r>
      <w:r>
        <w:rPr>
          <w:rFonts w:hint="eastAsia" w:ascii="仿宋" w:hAnsi="仿宋" w:eastAsia="仿宋"/>
          <w:bCs/>
          <w:sz w:val="32"/>
          <w:szCs w:val="32"/>
        </w:rPr>
        <w:t>卫生健康</w:t>
      </w:r>
      <w:r>
        <w:rPr>
          <w:rStyle w:val="16"/>
          <w:rFonts w:hint="eastAsia" w:ascii="仿宋" w:hAnsi="仿宋" w:eastAsia="仿宋"/>
          <w:b w:val="0"/>
          <w:bCs/>
          <w:sz w:val="32"/>
          <w:szCs w:val="32"/>
        </w:rPr>
        <w:t>（类）行政事业单位医疗（款）其他行政事业单位医疗支出（项）：其他行政事业单位医疗支出。</w:t>
      </w:r>
    </w:p>
    <w:p w14:paraId="42C005F7">
      <w:pPr>
        <w:tabs>
          <w:tab w:val="left" w:pos="2410"/>
        </w:tabs>
        <w:spacing w:line="600" w:lineRule="exact"/>
        <w:ind w:firstLine="640"/>
        <w:rPr>
          <w:rFonts w:ascii="仿宋" w:hAnsi="仿宋" w:eastAsia="仿宋"/>
          <w:bCs/>
          <w:sz w:val="32"/>
          <w:szCs w:val="32"/>
        </w:rPr>
      </w:pPr>
      <w:r>
        <w:rPr>
          <w:rFonts w:hint="eastAsia" w:ascii="仿宋" w:hAnsi="仿宋" w:eastAsia="仿宋"/>
          <w:bCs/>
          <w:sz w:val="32"/>
          <w:szCs w:val="32"/>
        </w:rPr>
        <w:t>11.农林水</w:t>
      </w:r>
      <w:r>
        <w:rPr>
          <w:rStyle w:val="16"/>
          <w:rFonts w:hint="eastAsia" w:ascii="仿宋" w:hAnsi="仿宋" w:eastAsia="仿宋"/>
          <w:b w:val="0"/>
          <w:bCs/>
          <w:sz w:val="32"/>
          <w:szCs w:val="32"/>
        </w:rPr>
        <w:t>（类）</w:t>
      </w:r>
      <w:r>
        <w:rPr>
          <w:rStyle w:val="16"/>
          <w:rFonts w:hint="eastAsia" w:ascii="仿宋" w:hAnsi="仿宋" w:eastAsia="仿宋"/>
          <w:b w:val="0"/>
          <w:bCs/>
          <w:sz w:val="32"/>
          <w:szCs w:val="32"/>
          <w:lang w:eastAsia="zh-CN"/>
        </w:rPr>
        <w:t>巩固拓展脱贫攻坚成果</w:t>
      </w:r>
      <w:r>
        <w:rPr>
          <w:rStyle w:val="16"/>
          <w:rFonts w:hint="eastAsia" w:ascii="仿宋" w:hAnsi="仿宋" w:eastAsia="仿宋"/>
          <w:b w:val="0"/>
          <w:bCs/>
          <w:sz w:val="32"/>
          <w:szCs w:val="32"/>
        </w:rPr>
        <w:t>衔接乡村振兴（款）社会发展（项）：社会发展</w:t>
      </w:r>
      <w:r>
        <w:rPr>
          <w:rStyle w:val="16"/>
          <w:rFonts w:ascii="仿宋" w:hAnsi="仿宋" w:eastAsia="仿宋"/>
          <w:b w:val="0"/>
          <w:bCs/>
          <w:sz w:val="32"/>
          <w:szCs w:val="32"/>
        </w:rPr>
        <w:t>。</w:t>
      </w:r>
    </w:p>
    <w:p w14:paraId="62295C27">
      <w:pPr>
        <w:tabs>
          <w:tab w:val="left" w:pos="2410"/>
        </w:tabs>
        <w:spacing w:line="600" w:lineRule="exact"/>
        <w:ind w:firstLine="640"/>
        <w:rPr>
          <w:rFonts w:ascii="仿宋" w:hAnsi="仿宋" w:eastAsia="仿宋"/>
          <w:bCs/>
          <w:sz w:val="32"/>
          <w:szCs w:val="32"/>
        </w:rPr>
      </w:pPr>
      <w:r>
        <w:rPr>
          <w:rFonts w:hint="eastAsia" w:ascii="仿宋" w:hAnsi="仿宋" w:eastAsia="仿宋"/>
          <w:bCs/>
          <w:sz w:val="32"/>
          <w:szCs w:val="32"/>
        </w:rPr>
        <w:t>12.住房保障</w:t>
      </w:r>
      <w:r>
        <w:rPr>
          <w:rStyle w:val="16"/>
          <w:rFonts w:hint="eastAsia" w:ascii="仿宋" w:hAnsi="仿宋" w:eastAsia="仿宋"/>
          <w:b w:val="0"/>
          <w:bCs/>
          <w:sz w:val="32"/>
          <w:szCs w:val="32"/>
        </w:rPr>
        <w:t>（类）住房改革支出（款）住房公积金（项）：住房公积金。</w:t>
      </w:r>
    </w:p>
    <w:p w14:paraId="7AF227D4">
      <w:pPr>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0B0F4220">
      <w:pPr>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6AD2DA73">
      <w:pPr>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7968D13E">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9E26E57">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FD3027">
      <w:pPr>
        <w:spacing w:line="600" w:lineRule="exact"/>
        <w:jc w:val="center"/>
        <w:outlineLvl w:val="0"/>
        <w:rPr>
          <w:rFonts w:ascii="黑体" w:hAnsi="黑体" w:eastAsia="黑体"/>
          <w:bCs/>
          <w:kern w:val="44"/>
          <w:sz w:val="44"/>
          <w:szCs w:val="44"/>
        </w:rPr>
      </w:pPr>
      <w:bookmarkStart w:id="51" w:name="_Toc15396614"/>
      <w:bookmarkStart w:id="52" w:name="_Toc15377226"/>
      <w:r>
        <w:rPr>
          <w:rFonts w:hint="eastAsia" w:ascii="黑体" w:hAnsi="黑体" w:eastAsia="黑体"/>
          <w:sz w:val="44"/>
          <w:szCs w:val="44"/>
        </w:rPr>
        <w:t>第</w:t>
      </w:r>
      <w:r>
        <w:rPr>
          <w:rStyle w:val="27"/>
          <w:rFonts w:hint="eastAsia" w:ascii="黑体" w:hAnsi="黑体" w:eastAsia="黑体"/>
          <w:b w:val="0"/>
        </w:rPr>
        <w:t>四部分 附件</w:t>
      </w:r>
      <w:bookmarkEnd w:id="51"/>
      <w:bookmarkStart w:id="53" w:name="_Toc15396618"/>
    </w:p>
    <w:p w14:paraId="15ACA075">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太和中学</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202</w:t>
      </w:r>
      <w:r>
        <w:rPr>
          <w:rFonts w:hint="eastAsia" w:ascii="方正小标宋简体" w:hAnsi="宋体" w:eastAsia="方正小标宋简体"/>
          <w:color w:val="000000"/>
          <w:kern w:val="0"/>
          <w:sz w:val="40"/>
          <w:szCs w:val="44"/>
        </w:rPr>
        <w:t>3年部门</w:t>
      </w:r>
      <w:r>
        <w:rPr>
          <w:rFonts w:hint="eastAsia" w:ascii="方正小标宋简体" w:hAnsi="宋体" w:eastAsia="方正小标宋简体"/>
          <w:color w:val="000000"/>
          <w:kern w:val="0"/>
          <w:sz w:val="40"/>
          <w:szCs w:val="44"/>
          <w:lang w:val="zh-CN"/>
        </w:rPr>
        <w:t>整体</w:t>
      </w:r>
    </w:p>
    <w:p w14:paraId="734F2FA2">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rPr>
        <w:t>支出绩效评价报告</w:t>
      </w:r>
    </w:p>
    <w:p w14:paraId="2666416C">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025DE203">
      <w:pPr>
        <w:ind w:firstLine="640" w:firstLineChars="200"/>
        <w:rPr>
          <w:sz w:val="28"/>
          <w:szCs w:val="28"/>
        </w:rPr>
      </w:pPr>
      <w:r>
        <w:rPr>
          <w:rFonts w:hint="eastAsia" w:ascii="仿宋_GB2312" w:hAnsi="宋体" w:eastAsia="仿宋_GB2312" w:cs="宋体"/>
          <w:color w:val="000000"/>
          <w:kern w:val="0"/>
          <w:sz w:val="32"/>
          <w:szCs w:val="32"/>
          <w:shd w:val="clear" w:color="auto" w:fill="FFFFFF"/>
          <w:lang w:val="zh-CN"/>
        </w:rPr>
        <w:t>（一）机构组成。</w:t>
      </w:r>
      <w:r>
        <w:rPr>
          <w:rFonts w:hint="eastAsia"/>
          <w:sz w:val="28"/>
          <w:szCs w:val="28"/>
        </w:rPr>
        <w:t>四川省射洪县太和中学地处射洪县城，</w:t>
      </w:r>
      <w:r>
        <w:rPr>
          <w:sz w:val="28"/>
          <w:szCs w:val="28"/>
        </w:rPr>
        <w:t>1958</w:t>
      </w:r>
      <w:r>
        <w:rPr>
          <w:rFonts w:hint="eastAsia"/>
          <w:sz w:val="28"/>
          <w:szCs w:val="28"/>
        </w:rPr>
        <w:t>年建校，</w:t>
      </w:r>
      <w:r>
        <w:rPr>
          <w:sz w:val="28"/>
          <w:szCs w:val="28"/>
        </w:rPr>
        <w:t>1983</w:t>
      </w:r>
      <w:r>
        <w:rPr>
          <w:rFonts w:hint="eastAsia"/>
          <w:sz w:val="28"/>
          <w:szCs w:val="28"/>
        </w:rPr>
        <w:t>年被射洪县人民政府（射府发〔</w:t>
      </w:r>
      <w:r>
        <w:rPr>
          <w:sz w:val="28"/>
          <w:szCs w:val="28"/>
        </w:rPr>
        <w:t>1983</w:t>
      </w:r>
      <w:r>
        <w:rPr>
          <w:rFonts w:hint="eastAsia"/>
          <w:sz w:val="28"/>
          <w:szCs w:val="28"/>
        </w:rPr>
        <w:t>〕</w:t>
      </w:r>
      <w:r>
        <w:rPr>
          <w:sz w:val="28"/>
          <w:szCs w:val="28"/>
        </w:rPr>
        <w:t>087</w:t>
      </w:r>
      <w:r>
        <w:rPr>
          <w:rFonts w:hint="eastAsia"/>
          <w:sz w:val="28"/>
          <w:szCs w:val="28"/>
        </w:rPr>
        <w:t>号）批准为完全中学。</w:t>
      </w:r>
      <w:r>
        <w:rPr>
          <w:sz w:val="28"/>
          <w:szCs w:val="28"/>
        </w:rPr>
        <w:t>2019</w:t>
      </w:r>
      <w:r>
        <w:rPr>
          <w:rFonts w:hint="eastAsia"/>
          <w:sz w:val="28"/>
          <w:szCs w:val="28"/>
        </w:rPr>
        <w:t>年被射洪市人民政府（射府办函〔</w:t>
      </w:r>
      <w:r>
        <w:rPr>
          <w:sz w:val="28"/>
          <w:szCs w:val="28"/>
        </w:rPr>
        <w:t>2019</w:t>
      </w:r>
      <w:r>
        <w:rPr>
          <w:rFonts w:hint="eastAsia"/>
          <w:sz w:val="28"/>
          <w:szCs w:val="28"/>
        </w:rPr>
        <w:t>〕</w:t>
      </w:r>
      <w:r>
        <w:rPr>
          <w:sz w:val="28"/>
          <w:szCs w:val="28"/>
        </w:rPr>
        <w:t>37</w:t>
      </w:r>
      <w:r>
        <w:rPr>
          <w:rFonts w:hint="eastAsia"/>
          <w:sz w:val="28"/>
          <w:szCs w:val="28"/>
        </w:rPr>
        <w:t>号）更名为四川省射洪市太和中学，学校下设党委办、行政办、教务处、教科室、德育处、体艺处、安法处、后勤处、学生发展中心、监审室。</w:t>
      </w:r>
    </w:p>
    <w:p w14:paraId="324A888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r>
        <w:rPr>
          <w:rFonts w:hint="eastAsia"/>
          <w:sz w:val="28"/>
          <w:szCs w:val="28"/>
        </w:rPr>
        <w:t>实施初中义务教育和高中学历教育，促进基础教育发展，高中学历教育，相关社会服务。</w:t>
      </w:r>
    </w:p>
    <w:p w14:paraId="5990F3A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r>
        <w:rPr>
          <w:rFonts w:hint="eastAsia"/>
          <w:sz w:val="28"/>
          <w:szCs w:val="28"/>
        </w:rPr>
        <w:t>事业编制</w:t>
      </w:r>
      <w:r>
        <w:rPr>
          <w:sz w:val="28"/>
          <w:szCs w:val="28"/>
        </w:rPr>
        <w:t>340</w:t>
      </w:r>
      <w:r>
        <w:rPr>
          <w:rFonts w:hint="eastAsia"/>
          <w:sz w:val="28"/>
          <w:szCs w:val="28"/>
        </w:rPr>
        <w:t>个。</w:t>
      </w:r>
      <w:r>
        <w:rPr>
          <w:sz w:val="28"/>
          <w:szCs w:val="28"/>
        </w:rPr>
        <w:t>2021</w:t>
      </w:r>
      <w:r>
        <w:rPr>
          <w:rFonts w:hint="eastAsia"/>
          <w:sz w:val="28"/>
          <w:szCs w:val="28"/>
        </w:rPr>
        <w:t>年年末实有事业人员</w:t>
      </w:r>
      <w:r>
        <w:rPr>
          <w:sz w:val="28"/>
          <w:szCs w:val="28"/>
        </w:rPr>
        <w:t>3</w:t>
      </w:r>
      <w:r>
        <w:rPr>
          <w:rFonts w:hint="eastAsia"/>
          <w:sz w:val="28"/>
          <w:szCs w:val="28"/>
        </w:rPr>
        <w:t>33人，遗属补助4人，初中学生1925人，高中学生2363人。</w:t>
      </w:r>
    </w:p>
    <w:p w14:paraId="3739452F">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1BDEA9C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r>
        <w:rPr>
          <w:rFonts w:hint="eastAsia" w:ascii="仿宋" w:hAnsi="仿宋" w:eastAsia="仿宋"/>
          <w:color w:val="000000"/>
          <w:sz w:val="32"/>
          <w:szCs w:val="32"/>
        </w:rPr>
        <w:t>5820.25万元</w:t>
      </w:r>
    </w:p>
    <w:p w14:paraId="6813593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r>
        <w:rPr>
          <w:rFonts w:hint="eastAsia" w:ascii="仿宋" w:hAnsi="仿宋" w:eastAsia="仿宋"/>
          <w:color w:val="000000"/>
          <w:sz w:val="32"/>
          <w:szCs w:val="32"/>
        </w:rPr>
        <w:t>5820.25万元</w:t>
      </w:r>
    </w:p>
    <w:p w14:paraId="1F39AE87">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0832F6A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72080C56">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部门绩效目标制定较为清晰具体、目标实现达到预期效果、预算编制准确、支出控制严格、执行进度可控、预算完成情况良好。</w:t>
      </w:r>
    </w:p>
    <w:p w14:paraId="00906B9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739A4DE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绩效自评公开、评价结果应用、结果反馈等情况均按上级主管部门要求进行。</w:t>
      </w:r>
    </w:p>
    <w:p w14:paraId="284D500F">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077E4359">
      <w:pPr>
        <w:spacing w:line="500" w:lineRule="atLeast"/>
        <w:ind w:firstLine="640" w:firstLineChars="200"/>
        <w:rPr>
          <w:sz w:val="28"/>
          <w:szCs w:val="28"/>
        </w:rPr>
      </w:pPr>
      <w:r>
        <w:rPr>
          <w:rFonts w:hint="eastAsia" w:ascii="仿宋_GB2312" w:hAnsi="宋体" w:eastAsia="仿宋_GB2312" w:cs="宋体"/>
          <w:color w:val="000000"/>
          <w:kern w:val="0"/>
          <w:sz w:val="32"/>
          <w:szCs w:val="32"/>
          <w:shd w:val="clear" w:color="auto" w:fill="FFFFFF"/>
          <w:lang w:val="zh-CN"/>
        </w:rPr>
        <w:t>（一）评价结论。</w:t>
      </w:r>
      <w:r>
        <w:rPr>
          <w:rFonts w:hint="eastAsia"/>
          <w:sz w:val="28"/>
          <w:szCs w:val="28"/>
        </w:rPr>
        <w:t>我校加强财政基础管理工作，提高预算执行力。高度重视部门决算编制中所反映出来的预算执行过程中存在的问题，在日常基础管理工作中加以改进和调整，严格执行预算，增强预算执行刚性，细化基本支出和项目支出的划分。同时加强了财政财务管理业务培训工作，提高财政财务管理水平。对财务从业人员开展有关职业道德修养、会计诚信建设、财经法律法规、会计制度和现代信息技术应用的培训，不断提高财务从业人员的学习能力和工作能力，树立推崇“诚实守信，坚持原则，操守为重，不做假账”的职业道德，提高自觉遵守和维护财经法律尊严的能力，大力加强现代适用信息技术的应用能力，切实提高依法理财和现代化理财水平。</w:t>
      </w:r>
    </w:p>
    <w:p w14:paraId="1D67387A">
      <w:pPr>
        <w:widowControl/>
        <w:spacing w:line="480" w:lineRule="auto"/>
        <w:ind w:firstLine="48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14:paraId="0862E808">
      <w:pPr>
        <w:widowControl/>
        <w:spacing w:line="480" w:lineRule="auto"/>
        <w:ind w:firstLine="480"/>
        <w:jc w:val="left"/>
        <w:rPr>
          <w:rFonts w:ascii="宋体" w:cs="宋体"/>
          <w:kern w:val="0"/>
          <w:sz w:val="28"/>
          <w:szCs w:val="28"/>
        </w:rPr>
      </w:pPr>
      <w:r>
        <w:rPr>
          <w:rFonts w:ascii="宋体" w:hAnsi="宋体" w:cs="宋体"/>
          <w:kern w:val="0"/>
          <w:sz w:val="28"/>
          <w:szCs w:val="28"/>
        </w:rPr>
        <w:t>1</w:t>
      </w:r>
      <w:r>
        <w:rPr>
          <w:rFonts w:hint="eastAsia" w:ascii="宋体" w:hAnsi="宋体" w:cs="宋体"/>
          <w:kern w:val="0"/>
          <w:sz w:val="28"/>
          <w:szCs w:val="28"/>
        </w:rPr>
        <w:t>、预算不够明确和细化，预算编制的合理性不够。预算执行力度还要进一步加强。</w:t>
      </w:r>
    </w:p>
    <w:p w14:paraId="26C8A763">
      <w:pPr>
        <w:widowControl/>
        <w:spacing w:line="480" w:lineRule="auto"/>
        <w:ind w:firstLine="480"/>
        <w:jc w:val="left"/>
        <w:rPr>
          <w:rFonts w:ascii="宋体" w:cs="宋体"/>
          <w:kern w:val="0"/>
          <w:sz w:val="28"/>
          <w:szCs w:val="28"/>
        </w:rPr>
      </w:pPr>
      <w:r>
        <w:rPr>
          <w:rFonts w:ascii="宋体" w:hAnsi="宋体" w:cs="宋体"/>
          <w:kern w:val="0"/>
          <w:sz w:val="28"/>
          <w:szCs w:val="28"/>
        </w:rPr>
        <w:t>2</w:t>
      </w:r>
      <w:r>
        <w:rPr>
          <w:rFonts w:hint="eastAsia" w:ascii="宋体" w:hAnsi="宋体" w:cs="宋体"/>
          <w:kern w:val="0"/>
          <w:sz w:val="28"/>
          <w:szCs w:val="28"/>
        </w:rPr>
        <w:t>、预算编制的前瞻度不够，对当年度新情况、新问题加强前瞻性、针对性研究不多，预算和实际支出调整较大。</w:t>
      </w:r>
    </w:p>
    <w:p w14:paraId="51E48E47">
      <w:pPr>
        <w:widowControl/>
        <w:spacing w:line="480" w:lineRule="auto"/>
        <w:ind w:firstLine="480"/>
        <w:jc w:val="left"/>
        <w:rPr>
          <w:rFonts w:ascii="宋体" w:cs="宋体"/>
          <w:kern w:val="0"/>
          <w:sz w:val="28"/>
          <w:szCs w:val="28"/>
        </w:rPr>
      </w:pPr>
      <w:r>
        <w:rPr>
          <w:rFonts w:ascii="宋体" w:hAnsi="宋体" w:cs="宋体"/>
          <w:kern w:val="0"/>
          <w:sz w:val="28"/>
          <w:szCs w:val="28"/>
        </w:rPr>
        <w:t>3</w:t>
      </w:r>
      <w:r>
        <w:rPr>
          <w:rFonts w:hint="eastAsia" w:ascii="宋体" w:hAnsi="宋体" w:cs="宋体"/>
          <w:kern w:val="0"/>
          <w:sz w:val="28"/>
          <w:szCs w:val="28"/>
        </w:rPr>
        <w:t>、财务管理水平有待提高。财务工作按部就班，缺乏创新，在精度和深度上欠缺，还需要进一步完善。</w:t>
      </w:r>
    </w:p>
    <w:p w14:paraId="20DC2FD6">
      <w:pPr>
        <w:widowControl/>
        <w:spacing w:line="480" w:lineRule="auto"/>
        <w:ind w:firstLine="480"/>
        <w:jc w:val="left"/>
        <w:rPr>
          <w:rFonts w:ascii="宋体" w:cs="宋体"/>
          <w:kern w:val="0"/>
          <w:sz w:val="28"/>
          <w:szCs w:val="28"/>
        </w:rPr>
      </w:pPr>
      <w:r>
        <w:rPr>
          <w:rFonts w:ascii="宋体" w:hAnsi="宋体" w:cs="宋体"/>
          <w:kern w:val="0"/>
          <w:sz w:val="28"/>
          <w:szCs w:val="28"/>
        </w:rPr>
        <w:t>4</w:t>
      </w:r>
      <w:r>
        <w:rPr>
          <w:rFonts w:hint="eastAsia" w:ascii="宋体" w:hAnsi="宋体" w:cs="宋体"/>
          <w:kern w:val="0"/>
          <w:sz w:val="28"/>
          <w:szCs w:val="28"/>
        </w:rPr>
        <w:t>、内部管理相关制度虽已建立，但管理上较为粗糙，部分未实际落实到位。</w:t>
      </w:r>
    </w:p>
    <w:p w14:paraId="3AEF605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59296DC6">
      <w:pPr>
        <w:widowControl/>
        <w:spacing w:line="480" w:lineRule="auto"/>
        <w:ind w:firstLine="480"/>
        <w:jc w:val="left"/>
        <w:rPr>
          <w:rFonts w:ascii="宋体" w:cs="宋体"/>
          <w:kern w:val="0"/>
          <w:sz w:val="28"/>
          <w:szCs w:val="28"/>
        </w:rPr>
      </w:pPr>
      <w:r>
        <w:rPr>
          <w:rFonts w:ascii="宋体" w:hAnsi="宋体" w:cs="宋体"/>
          <w:kern w:val="0"/>
          <w:sz w:val="28"/>
          <w:szCs w:val="28"/>
        </w:rPr>
        <w:t>1</w:t>
      </w:r>
      <w:r>
        <w:rPr>
          <w:rFonts w:hint="eastAsia" w:ascii="宋体" w:hAnsi="宋体" w:cs="宋体"/>
          <w:kern w:val="0"/>
          <w:sz w:val="28"/>
          <w:szCs w:val="28"/>
        </w:rPr>
        <w:t>、细化预算编制工作，将进一步重视预算的编制工作，加强学校内部机构的预算管理意识，科学规划预算编制的精确度，提高财政资金使用效率，加强内部预算编制的审核和预算控制指标的下达，尽量减少预算资金的调整、结转和结余的情形。</w:t>
      </w:r>
    </w:p>
    <w:p w14:paraId="10845AA4">
      <w:pPr>
        <w:widowControl/>
        <w:spacing w:line="480" w:lineRule="auto"/>
        <w:ind w:firstLine="480"/>
        <w:jc w:val="left"/>
        <w:rPr>
          <w:rFonts w:ascii="宋体" w:cs="宋体"/>
          <w:kern w:val="0"/>
          <w:sz w:val="28"/>
          <w:szCs w:val="28"/>
        </w:rPr>
      </w:pPr>
      <w:r>
        <w:rPr>
          <w:rFonts w:ascii="宋体" w:hAnsi="宋体" w:cs="宋体"/>
          <w:kern w:val="0"/>
          <w:sz w:val="28"/>
          <w:szCs w:val="28"/>
        </w:rPr>
        <w:t>2</w:t>
      </w:r>
      <w:r>
        <w:rPr>
          <w:rFonts w:hint="eastAsia" w:ascii="宋体" w:hAnsi="宋体" w:cs="宋体"/>
          <w:kern w:val="0"/>
          <w:sz w:val="28"/>
          <w:szCs w:val="28"/>
        </w:rPr>
        <w:t>、建议财政部门加强对单位财务人员队伍建设的重视，加强对财务人员做好各项财务工作的指导和培训，尤其是加强新</w:t>
      </w:r>
      <w:r>
        <w:rPr>
          <w:rFonts w:hint="eastAsia" w:ascii="宋体" w:hAnsi="宋体" w:cs="宋体"/>
          <w:kern w:val="0"/>
          <w:sz w:val="28"/>
          <w:szCs w:val="28"/>
          <w:lang w:eastAsia="zh-CN"/>
        </w:rPr>
        <w:t>《中华人民共和国预算法》</w:t>
      </w:r>
      <w:r>
        <w:rPr>
          <w:rFonts w:hint="eastAsia" w:ascii="宋体" w:hAnsi="宋体" w:cs="宋体"/>
          <w:kern w:val="0"/>
          <w:sz w:val="28"/>
          <w:szCs w:val="28"/>
        </w:rPr>
        <w:t>《新政府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43023E49">
      <w:pPr>
        <w:spacing w:line="580" w:lineRule="exact"/>
        <w:ind w:firstLine="560" w:firstLineChars="200"/>
        <w:rPr>
          <w:rFonts w:ascii="仿宋_GB2312" w:hAnsi="仿宋_GB2312" w:eastAsia="仿宋_GB2312" w:cs="仿宋_GB2312"/>
          <w:sz w:val="32"/>
          <w:szCs w:val="32"/>
        </w:rPr>
      </w:pPr>
      <w:r>
        <w:rPr>
          <w:rFonts w:ascii="宋体" w:hAnsi="宋体" w:cs="宋体"/>
          <w:kern w:val="0"/>
          <w:sz w:val="28"/>
          <w:szCs w:val="28"/>
        </w:rPr>
        <w:t>3</w:t>
      </w:r>
      <w:r>
        <w:rPr>
          <w:rFonts w:hint="eastAsia" w:ascii="宋体" w:hAnsi="宋体" w:cs="宋体"/>
          <w:kern w:val="0"/>
          <w:sz w:val="28"/>
          <w:szCs w:val="28"/>
        </w:rPr>
        <w:t>、进一步完善和落实相关管理制度，全校上下应加强学习内部控制管理制度，严格遵照相关制度贯彻落实到位，做到精细化管理。</w:t>
      </w:r>
    </w:p>
    <w:p w14:paraId="2F45C003">
      <w:pPr>
        <w:spacing w:line="600" w:lineRule="exact"/>
        <w:jc w:val="center"/>
        <w:outlineLvl w:val="0"/>
        <w:rPr>
          <w:rFonts w:hint="eastAsia" w:ascii="黑体" w:hAnsi="黑体" w:eastAsia="黑体"/>
          <w:sz w:val="44"/>
          <w:szCs w:val="44"/>
        </w:rPr>
      </w:pPr>
    </w:p>
    <w:p w14:paraId="099D3A60">
      <w:pPr>
        <w:spacing w:line="600" w:lineRule="exact"/>
        <w:jc w:val="center"/>
        <w:outlineLvl w:val="0"/>
        <w:rPr>
          <w:rFonts w:hint="eastAsia" w:ascii="黑体" w:hAnsi="黑体" w:eastAsia="黑体"/>
          <w:sz w:val="44"/>
          <w:szCs w:val="44"/>
        </w:rPr>
      </w:pPr>
    </w:p>
    <w:p w14:paraId="45D0564C">
      <w:pPr>
        <w:spacing w:line="600" w:lineRule="exact"/>
        <w:jc w:val="center"/>
        <w:outlineLvl w:val="0"/>
        <w:rPr>
          <w:rFonts w:hint="eastAsia" w:ascii="黑体" w:hAnsi="黑体" w:eastAsia="黑体"/>
          <w:sz w:val="44"/>
          <w:szCs w:val="44"/>
        </w:rPr>
      </w:pPr>
    </w:p>
    <w:p w14:paraId="0BF439CA">
      <w:pPr>
        <w:spacing w:line="600" w:lineRule="exact"/>
        <w:jc w:val="center"/>
        <w:outlineLvl w:val="0"/>
        <w:rPr>
          <w:rFonts w:hint="eastAsia" w:ascii="黑体" w:hAnsi="黑体" w:eastAsia="黑体"/>
          <w:sz w:val="44"/>
          <w:szCs w:val="44"/>
        </w:rPr>
      </w:pPr>
    </w:p>
    <w:p w14:paraId="4C718990">
      <w:pPr>
        <w:spacing w:line="600" w:lineRule="exact"/>
        <w:jc w:val="center"/>
        <w:outlineLvl w:val="0"/>
        <w:rPr>
          <w:rFonts w:hint="eastAsia" w:ascii="黑体" w:hAnsi="黑体" w:eastAsia="黑体"/>
          <w:sz w:val="44"/>
          <w:szCs w:val="44"/>
        </w:rPr>
      </w:pPr>
    </w:p>
    <w:p w14:paraId="3B3FAEF5">
      <w:pPr>
        <w:spacing w:line="600" w:lineRule="exact"/>
        <w:jc w:val="center"/>
        <w:outlineLvl w:val="0"/>
        <w:rPr>
          <w:rFonts w:hint="eastAsia" w:ascii="黑体" w:hAnsi="黑体" w:eastAsia="黑体"/>
          <w:sz w:val="44"/>
          <w:szCs w:val="44"/>
        </w:rPr>
      </w:pPr>
    </w:p>
    <w:p w14:paraId="7D3D9A15">
      <w:pPr>
        <w:spacing w:line="600" w:lineRule="exact"/>
        <w:jc w:val="center"/>
        <w:outlineLvl w:val="0"/>
        <w:rPr>
          <w:rFonts w:hint="eastAsia" w:ascii="黑体" w:hAnsi="黑体" w:eastAsia="黑体"/>
          <w:sz w:val="44"/>
          <w:szCs w:val="44"/>
        </w:rPr>
      </w:pPr>
    </w:p>
    <w:p w14:paraId="1006C757">
      <w:pPr>
        <w:spacing w:line="600" w:lineRule="exact"/>
        <w:jc w:val="center"/>
        <w:outlineLvl w:val="0"/>
        <w:rPr>
          <w:rFonts w:hint="eastAsia" w:ascii="黑体" w:hAnsi="黑体" w:eastAsia="黑体"/>
          <w:sz w:val="44"/>
          <w:szCs w:val="44"/>
        </w:rPr>
      </w:pPr>
    </w:p>
    <w:p w14:paraId="20481A0B">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2"/>
      <w:bookmarkEnd w:id="53"/>
      <w:bookmarkStart w:id="54" w:name="_Toc15396619"/>
    </w:p>
    <w:p w14:paraId="56A6E6AA">
      <w:pPr>
        <w:pStyle w:val="3"/>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14:paraId="045C549B">
      <w:pPr>
        <w:pStyle w:val="3"/>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14:paraId="5BF16CB7">
      <w:pPr>
        <w:pStyle w:val="3"/>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14:paraId="7520F353">
      <w:pPr>
        <w:pStyle w:val="3"/>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14:paraId="668557EC">
      <w:pPr>
        <w:pStyle w:val="3"/>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14:paraId="3CFEC8B3">
      <w:pPr>
        <w:pStyle w:val="3"/>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14:paraId="4271C3D3">
      <w:pPr>
        <w:pStyle w:val="3"/>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14:paraId="322B8C5B">
      <w:pPr>
        <w:pStyle w:val="3"/>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14:paraId="04C7C744">
      <w:pPr>
        <w:pStyle w:val="3"/>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14:paraId="6C1C25F3">
      <w:pPr>
        <w:pStyle w:val="3"/>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69546E60">
      <w:pPr>
        <w:pStyle w:val="3"/>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3EA77911">
      <w:pPr>
        <w:pStyle w:val="3"/>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14:paraId="60209787">
      <w:pPr>
        <w:pStyle w:val="3"/>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F98D11F">
        <w:pPr>
          <w:pStyle w:val="9"/>
          <w:jc w:val="center"/>
        </w:pPr>
        <w:r>
          <w:fldChar w:fldCharType="begin"/>
        </w:r>
        <w:r>
          <w:instrText xml:space="preserve">PAGE   \* MERGEFORMAT</w:instrText>
        </w:r>
        <w:r>
          <w:fldChar w:fldCharType="separate"/>
        </w:r>
        <w:r>
          <w:rPr>
            <w:lang w:val="zh-CN"/>
          </w:rPr>
          <w:t>9</w:t>
        </w:r>
        <w:r>
          <w:fldChar w:fldCharType="end"/>
        </w:r>
      </w:p>
    </w:sdtContent>
  </w:sdt>
  <w:p w14:paraId="2AE1BCA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3E870">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90B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BF5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26D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3496F">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NkZGMzMjE2MmE4NzZiODZlYzlhMWVlZTliMDdjMWEifQ=="/>
  </w:docVars>
  <w:rsids>
    <w:rsidRoot w:val="00F1361C"/>
    <w:rsid w:val="000222C6"/>
    <w:rsid w:val="0002549F"/>
    <w:rsid w:val="000468DB"/>
    <w:rsid w:val="0006487A"/>
    <w:rsid w:val="00065F8F"/>
    <w:rsid w:val="00070A43"/>
    <w:rsid w:val="000768F2"/>
    <w:rsid w:val="00077AB6"/>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07F0"/>
    <w:rsid w:val="00191536"/>
    <w:rsid w:val="00196687"/>
    <w:rsid w:val="001A1DAD"/>
    <w:rsid w:val="001C0962"/>
    <w:rsid w:val="001D6D4D"/>
    <w:rsid w:val="001D7531"/>
    <w:rsid w:val="001E737D"/>
    <w:rsid w:val="001F0592"/>
    <w:rsid w:val="001F69F0"/>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115C0"/>
    <w:rsid w:val="003216A9"/>
    <w:rsid w:val="00335A74"/>
    <w:rsid w:val="0036561B"/>
    <w:rsid w:val="0037013F"/>
    <w:rsid w:val="00377A10"/>
    <w:rsid w:val="00380C92"/>
    <w:rsid w:val="003A38E4"/>
    <w:rsid w:val="003A484F"/>
    <w:rsid w:val="003A4883"/>
    <w:rsid w:val="003B0BE0"/>
    <w:rsid w:val="003B0C1B"/>
    <w:rsid w:val="003B688C"/>
    <w:rsid w:val="003C0291"/>
    <w:rsid w:val="003C39AE"/>
    <w:rsid w:val="003C7B60"/>
    <w:rsid w:val="003D0C0F"/>
    <w:rsid w:val="003D1FB2"/>
    <w:rsid w:val="003D66DA"/>
    <w:rsid w:val="003E1310"/>
    <w:rsid w:val="003E6025"/>
    <w:rsid w:val="003E6F55"/>
    <w:rsid w:val="00406254"/>
    <w:rsid w:val="004223DE"/>
    <w:rsid w:val="00425C50"/>
    <w:rsid w:val="0043177C"/>
    <w:rsid w:val="00434489"/>
    <w:rsid w:val="00437085"/>
    <w:rsid w:val="00443880"/>
    <w:rsid w:val="004464F4"/>
    <w:rsid w:val="0046049C"/>
    <w:rsid w:val="004701F0"/>
    <w:rsid w:val="00471401"/>
    <w:rsid w:val="00473F31"/>
    <w:rsid w:val="0048263A"/>
    <w:rsid w:val="00487E5D"/>
    <w:rsid w:val="004A711F"/>
    <w:rsid w:val="004B199D"/>
    <w:rsid w:val="004B4690"/>
    <w:rsid w:val="004D0283"/>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A7932"/>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6AA"/>
    <w:rsid w:val="006A5E34"/>
    <w:rsid w:val="006B2422"/>
    <w:rsid w:val="006B2B9A"/>
    <w:rsid w:val="006C1937"/>
    <w:rsid w:val="006F020C"/>
    <w:rsid w:val="0071021A"/>
    <w:rsid w:val="007127B7"/>
    <w:rsid w:val="00714C73"/>
    <w:rsid w:val="0071798E"/>
    <w:rsid w:val="00734AE8"/>
    <w:rsid w:val="007416B6"/>
    <w:rsid w:val="00746F48"/>
    <w:rsid w:val="0075404D"/>
    <w:rsid w:val="0076182A"/>
    <w:rsid w:val="00767B7E"/>
    <w:rsid w:val="007770C3"/>
    <w:rsid w:val="00784D24"/>
    <w:rsid w:val="00785FBA"/>
    <w:rsid w:val="00786E4A"/>
    <w:rsid w:val="007875EB"/>
    <w:rsid w:val="00793E8A"/>
    <w:rsid w:val="0079426B"/>
    <w:rsid w:val="007A67ED"/>
    <w:rsid w:val="007D1682"/>
    <w:rsid w:val="007D312A"/>
    <w:rsid w:val="007D3F19"/>
    <w:rsid w:val="007E23B0"/>
    <w:rsid w:val="007E23E5"/>
    <w:rsid w:val="007F1991"/>
    <w:rsid w:val="007F2C2F"/>
    <w:rsid w:val="007F55FC"/>
    <w:rsid w:val="007F5665"/>
    <w:rsid w:val="00800112"/>
    <w:rsid w:val="00813102"/>
    <w:rsid w:val="00813348"/>
    <w:rsid w:val="00813CD7"/>
    <w:rsid w:val="008253BB"/>
    <w:rsid w:val="0083706E"/>
    <w:rsid w:val="008408F6"/>
    <w:rsid w:val="008423A5"/>
    <w:rsid w:val="00850625"/>
    <w:rsid w:val="00853718"/>
    <w:rsid w:val="00855221"/>
    <w:rsid w:val="00860645"/>
    <w:rsid w:val="00871F71"/>
    <w:rsid w:val="00872FD8"/>
    <w:rsid w:val="00885AF4"/>
    <w:rsid w:val="008939CD"/>
    <w:rsid w:val="008A1EDA"/>
    <w:rsid w:val="008B768C"/>
    <w:rsid w:val="008C4DB1"/>
    <w:rsid w:val="008C4EAF"/>
    <w:rsid w:val="008C5176"/>
    <w:rsid w:val="008C7FD0"/>
    <w:rsid w:val="008C7FD8"/>
    <w:rsid w:val="008D1A0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31D0"/>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1DC1"/>
    <w:rsid w:val="00A56DF2"/>
    <w:rsid w:val="00A56E6E"/>
    <w:rsid w:val="00A67AB5"/>
    <w:rsid w:val="00A733B2"/>
    <w:rsid w:val="00A741C2"/>
    <w:rsid w:val="00A91760"/>
    <w:rsid w:val="00A93B00"/>
    <w:rsid w:val="00A93C21"/>
    <w:rsid w:val="00AA5DD2"/>
    <w:rsid w:val="00AB5702"/>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1946"/>
    <w:rsid w:val="00B53C56"/>
    <w:rsid w:val="00B57DAF"/>
    <w:rsid w:val="00B6387C"/>
    <w:rsid w:val="00B77EA6"/>
    <w:rsid w:val="00B81598"/>
    <w:rsid w:val="00B841F1"/>
    <w:rsid w:val="00B944D6"/>
    <w:rsid w:val="00BA71ED"/>
    <w:rsid w:val="00BB2A98"/>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40891"/>
    <w:rsid w:val="00D40896"/>
    <w:rsid w:val="00D51276"/>
    <w:rsid w:val="00D7035F"/>
    <w:rsid w:val="00D94580"/>
    <w:rsid w:val="00DA634F"/>
    <w:rsid w:val="00DA65AC"/>
    <w:rsid w:val="00DB1913"/>
    <w:rsid w:val="00DC410D"/>
    <w:rsid w:val="00DC5A81"/>
    <w:rsid w:val="00DC68CA"/>
    <w:rsid w:val="00DC7CBA"/>
    <w:rsid w:val="00DD73B7"/>
    <w:rsid w:val="00DF28BC"/>
    <w:rsid w:val="00DF34B9"/>
    <w:rsid w:val="00E01053"/>
    <w:rsid w:val="00E07ACF"/>
    <w:rsid w:val="00E2401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19B9"/>
    <w:rsid w:val="00F2408F"/>
    <w:rsid w:val="00F240E9"/>
    <w:rsid w:val="00F36D8F"/>
    <w:rsid w:val="00F417B1"/>
    <w:rsid w:val="00F45853"/>
    <w:rsid w:val="00F51BC9"/>
    <w:rsid w:val="00F602DF"/>
    <w:rsid w:val="00F754A1"/>
    <w:rsid w:val="00F81FD9"/>
    <w:rsid w:val="00F841AA"/>
    <w:rsid w:val="00F84A94"/>
    <w:rsid w:val="00F87E96"/>
    <w:rsid w:val="00FA23E8"/>
    <w:rsid w:val="00FD3CC1"/>
    <w:rsid w:val="00FF1E02"/>
    <w:rsid w:val="00FF30B4"/>
    <w:rsid w:val="03DC2831"/>
    <w:rsid w:val="068F4C20"/>
    <w:rsid w:val="081B5E94"/>
    <w:rsid w:val="0A2032A3"/>
    <w:rsid w:val="0B8A37D8"/>
    <w:rsid w:val="0F4E14E2"/>
    <w:rsid w:val="0F5FFB2F"/>
    <w:rsid w:val="0FFFCF60"/>
    <w:rsid w:val="10C055FF"/>
    <w:rsid w:val="118107EC"/>
    <w:rsid w:val="11DD6519"/>
    <w:rsid w:val="138E1F9A"/>
    <w:rsid w:val="140212F1"/>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3A379F9"/>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C800A2A"/>
    <w:rsid w:val="4E361CB3"/>
    <w:rsid w:val="4ECE2238"/>
    <w:rsid w:val="51DB4B86"/>
    <w:rsid w:val="51F64DB0"/>
    <w:rsid w:val="55333C3E"/>
    <w:rsid w:val="5A4532B2"/>
    <w:rsid w:val="5F3B6A32"/>
    <w:rsid w:val="5F67802D"/>
    <w:rsid w:val="5F7DC4F2"/>
    <w:rsid w:val="5FB36814"/>
    <w:rsid w:val="5FBB8E56"/>
    <w:rsid w:val="5FFB5535"/>
    <w:rsid w:val="60713A14"/>
    <w:rsid w:val="638E7A78"/>
    <w:rsid w:val="64CA39A1"/>
    <w:rsid w:val="69630ADE"/>
    <w:rsid w:val="69BD5F13"/>
    <w:rsid w:val="69FB0B4B"/>
    <w:rsid w:val="6B52582F"/>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7846B3"/>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2"/>
    <w:qFormat/>
    <w:uiPriority w:val="9"/>
    <w:rPr>
      <w:rFonts w:ascii="Times New Roman" w:hAnsi="Times New Roman"/>
      <w:b/>
      <w:bCs/>
      <w:kern w:val="44"/>
      <w:sz w:val="44"/>
      <w:szCs w:val="44"/>
    </w:rPr>
  </w:style>
  <w:style w:type="character" w:customStyle="1" w:styleId="28">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年度收入、支出合计</a:t>
            </a:r>
            <a:r>
              <a:rPr lang="zh-CN" altLang="en-US" sz="1200"/>
              <a:t>（单位：万元）</a:t>
            </a:r>
            <a:endParaRPr lang="zh-CN" altLang="en-US" sz="1200"/>
          </a:p>
        </c:rich>
      </c:tx>
      <c:layout/>
      <c:overlay val="0"/>
    </c:title>
    <c:autoTitleDeleted val="0"/>
    <c:plotArea>
      <c:layout/>
      <c:barChart>
        <c:barDir val="col"/>
        <c:grouping val="stacked"/>
        <c:varyColors val="0"/>
        <c:ser>
          <c:idx val="0"/>
          <c:order val="0"/>
          <c:invertIfNegative val="0"/>
          <c:dLbls>
            <c:delete val="1"/>
          </c:dLbls>
          <c:cat>
            <c:strRef>
              <c:f>Sheet1!$A$1:$B$1</c:f>
              <c:strCache>
                <c:ptCount val="2"/>
                <c:pt idx="0">
                  <c:v>2022年度</c:v>
                </c:pt>
                <c:pt idx="1">
                  <c:v>2023年度</c:v>
                </c:pt>
              </c:strCache>
            </c:strRef>
          </c:cat>
          <c:val>
            <c:numRef>
              <c:f>Sheet1!$A$2:$B$2</c:f>
              <c:numCache>
                <c:formatCode>General</c:formatCode>
                <c:ptCount val="2"/>
                <c:pt idx="0">
                  <c:v>6216.85</c:v>
                </c:pt>
                <c:pt idx="1">
                  <c:v>5820.25</c:v>
                </c:pt>
              </c:numCache>
            </c:numRef>
          </c:val>
        </c:ser>
        <c:dLbls>
          <c:showLegendKey val="0"/>
          <c:showVal val="0"/>
          <c:showCatName val="0"/>
          <c:showSerName val="0"/>
          <c:showPercent val="0"/>
          <c:showBubbleSize val="0"/>
        </c:dLbls>
        <c:gapWidth val="95"/>
        <c:overlap val="100"/>
        <c:axId val="283158400"/>
        <c:axId val="283277952"/>
      </c:barChart>
      <c:catAx>
        <c:axId val="28315840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3277952"/>
        <c:crosses val="autoZero"/>
        <c:auto val="1"/>
        <c:lblAlgn val="ctr"/>
        <c:lblOffset val="100"/>
        <c:noMultiLvlLbl val="0"/>
      </c:catAx>
      <c:valAx>
        <c:axId val="283277952"/>
        <c:scaling>
          <c:orientation val="minMax"/>
        </c:scaling>
        <c:delete val="0"/>
        <c:axPos val="l"/>
        <c:majorGridlines/>
        <c:title>
          <c:layout/>
          <c:overlay val="0"/>
          <c:txPr>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3158400"/>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2023</a:t>
            </a:r>
            <a:r>
              <a:rPr lang="zh-CN" altLang="en-US"/>
              <a:t>年度支出总计</a:t>
            </a:r>
            <a:r>
              <a:rPr lang="zh-CN" altLang="en-US" sz="1200"/>
              <a:t>（单位：万元）</a:t>
            </a:r>
            <a:endParaRPr lang="zh-CN" altLang="en-US" sz="1200"/>
          </a:p>
        </c:rich>
      </c:tx>
      <c:layout>
        <c:manualLayout>
          <c:xMode val="edge"/>
          <c:yMode val="edge"/>
          <c:x val="0.13560293727329"/>
          <c:y val="0.0509259259259259"/>
        </c:manualLayout>
      </c:layout>
      <c:overlay val="0"/>
    </c:title>
    <c:autoTitleDeleted val="0"/>
    <c:view3D>
      <c:rotX val="30"/>
      <c:rotY val="0"/>
      <c:depthPercent val="100"/>
      <c:rAngAx val="1"/>
    </c:view3D>
    <c:floor>
      <c:thickness val="0"/>
    </c:floor>
    <c:sideWall>
      <c:thickness val="0"/>
    </c:sideWall>
    <c:backWall>
      <c:thickness val="0"/>
    </c:backWall>
    <c:plotArea>
      <c:layout/>
      <c:pie3DChart>
        <c:varyColors val="1"/>
        <c:ser>
          <c:idx val="0"/>
          <c:order val="0"/>
          <c:explosion val="0"/>
          <c:dPt>
            <c:idx val="0"/>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5820.25</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numRef>
              <c:f>#REF!$A$1</c:f>
              <c:numCache>
                <c:ptCount val="0"/>
              </c:numCache>
            </c:numRef>
          </c:cat>
          <c:val>
            <c:numRef>
              <c:f>#REF!$A$2</c:f>
              <c:numCache>
                <c:formatCode>General</c:formatCode>
                <c:ptCount val="1"/>
                <c:pt idx="0">
                  <c:v>1</c:v>
                </c:pt>
              </c:numCache>
            </c:numRef>
          </c:val>
        </c:ser>
        <c:dLbls>
          <c:showLegendKey val="0"/>
          <c:showVal val="0"/>
          <c:showCatName val="0"/>
          <c:showSerName val="0"/>
          <c:showPercent val="0"/>
          <c:showBubbleSize val="0"/>
        </c:dLbls>
      </c:pie3DChart>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5"/>
          <c:dPt>
            <c:idx val="0"/>
            <c:bubble3D val="0"/>
          </c:dPt>
          <c:dPt>
            <c:idx val="1"/>
            <c:bubble3D val="0"/>
          </c:dPt>
          <c:dLbls>
            <c:dLbl>
              <c:idx val="1"/>
              <c:layout>
                <c:manualLayout>
                  <c:x val="-0.0567942675926045"/>
                  <c:y val="0.0017271147772484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Sheet1!$A$1:$B$1</c:f>
              <c:strCache>
                <c:ptCount val="2"/>
                <c:pt idx="0">
                  <c:v>基本支出</c:v>
                </c:pt>
                <c:pt idx="1">
                  <c:v>项目支出</c:v>
                </c:pt>
              </c:strCache>
            </c:strRef>
          </c:cat>
          <c:val>
            <c:numRef>
              <c:f>Sheet1!$A$2:$B$2</c:f>
              <c:numCache>
                <c:formatCode>General</c:formatCode>
                <c:ptCount val="2"/>
                <c:pt idx="0">
                  <c:v>5502.69</c:v>
                </c:pt>
                <c:pt idx="1">
                  <c:v>317.56</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1"/>
          <c:invertIfNegative val="0"/>
          <c:dLbls>
            <c:delete val="1"/>
          </c:dLbls>
          <c:cat>
            <c:strRef>
              <c:f>#REF!$A$1:$B$1</c:f>
              <c:strCache>
                <c:ptCount val="2"/>
                <c:pt idx="0">
                  <c:v>2022年度</c:v>
                </c:pt>
                <c:pt idx="1">
                  <c:v>2023年度</c:v>
                </c:pt>
              </c:strCache>
            </c:strRef>
          </c:cat>
          <c:val>
            <c:numRef>
              <c:f>#REF!$A$2:$B$2</c:f>
              <c:numCache>
                <c:formatCode>General</c:formatCode>
                <c:ptCount val="1"/>
                <c:pt idx="0">
                  <c:v>1</c:v>
                </c:pt>
              </c:numCache>
            </c:numRef>
          </c:val>
        </c:ser>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Sheet2!$A$1:$B$1</c:f>
              <c:strCache>
                <c:ptCount val="2"/>
                <c:pt idx="0">
                  <c:v>2022年度</c:v>
                </c:pt>
                <c:pt idx="1">
                  <c:v>2023年度</c:v>
                </c:pt>
              </c:strCache>
            </c:strRef>
          </c:cat>
          <c:val>
            <c:numRef>
              <c:f>Sheet2!$A$2:$B$2</c:f>
              <c:numCache>
                <c:formatCode>General</c:formatCode>
                <c:ptCount val="2"/>
                <c:pt idx="0">
                  <c:v>6216.85</c:v>
                </c:pt>
                <c:pt idx="1">
                  <c:v>5820.25</c:v>
                </c:pt>
              </c:numCache>
            </c:numRef>
          </c:val>
        </c:ser>
        <c:dLbls>
          <c:showLegendKey val="0"/>
          <c:showVal val="0"/>
          <c:showCatName val="0"/>
          <c:showSerName val="0"/>
          <c:showPercent val="0"/>
          <c:showBubbleSize val="0"/>
        </c:dLbls>
        <c:gapWidth val="150"/>
        <c:overlap val="100"/>
        <c:axId val="284996736"/>
        <c:axId val="284998272"/>
      </c:barChart>
      <c:catAx>
        <c:axId val="2849967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4998272"/>
        <c:crosses val="autoZero"/>
        <c:auto val="1"/>
        <c:lblAlgn val="ctr"/>
        <c:lblOffset val="100"/>
        <c:noMultiLvlLbl val="0"/>
      </c:catAx>
      <c:valAx>
        <c:axId val="2849982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4996736"/>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stacked"/>
        <c:varyColors val="0"/>
        <c:ser>
          <c:idx val="1"/>
          <c:order val="1"/>
          <c:invertIfNegative val="0"/>
          <c:dLbls>
            <c:delete val="1"/>
          </c:dLbls>
          <c:cat>
            <c:strRef>
              <c:f>#REF!$A$1:$B$1</c:f>
              <c:strCache>
                <c:ptCount val="2"/>
                <c:pt idx="0">
                  <c:v>2022年度</c:v>
                </c:pt>
                <c:pt idx="1">
                  <c:v>2023年度</c:v>
                </c:pt>
              </c:strCache>
            </c:strRef>
          </c:cat>
          <c:val>
            <c:numRef>
              <c:f>#REF!$A$2:$B$2</c:f>
              <c:numCache>
                <c:formatCode>General</c:formatCode>
                <c:ptCount val="1"/>
                <c:pt idx="0">
                  <c:v>1</c:v>
                </c:pt>
              </c:numCache>
            </c:numRef>
          </c:val>
        </c:ser>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Sheet2!$A$1:$B$1</c:f>
              <c:strCache>
                <c:ptCount val="2"/>
                <c:pt idx="0">
                  <c:v>2022年度</c:v>
                </c:pt>
                <c:pt idx="1">
                  <c:v>2023年度</c:v>
                </c:pt>
              </c:strCache>
            </c:strRef>
          </c:cat>
          <c:val>
            <c:numRef>
              <c:f>Sheet2!$A$2:$B$2</c:f>
              <c:numCache>
                <c:formatCode>General</c:formatCode>
                <c:ptCount val="2"/>
                <c:pt idx="0">
                  <c:v>6216.85</c:v>
                </c:pt>
                <c:pt idx="1">
                  <c:v>5820.25</c:v>
                </c:pt>
              </c:numCache>
            </c:numRef>
          </c:val>
        </c:ser>
        <c:dLbls>
          <c:showLegendKey val="0"/>
          <c:showVal val="1"/>
          <c:showCatName val="0"/>
          <c:showSerName val="0"/>
          <c:showPercent val="0"/>
          <c:showBubbleSize val="0"/>
        </c:dLbls>
        <c:gapWidth val="75"/>
        <c:overlap val="100"/>
        <c:axId val="82938496"/>
        <c:axId val="82948480"/>
      </c:barChart>
      <c:catAx>
        <c:axId val="8293849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948480"/>
        <c:crosses val="autoZero"/>
        <c:auto val="1"/>
        <c:lblAlgn val="ctr"/>
        <c:lblOffset val="100"/>
        <c:noMultiLvlLbl val="0"/>
      </c:catAx>
      <c:valAx>
        <c:axId val="82948480"/>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938496"/>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5"/>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Sheet2!$A$1:$E$1</c:f>
              <c:strCache>
                <c:ptCount val="5"/>
                <c:pt idx="0">
                  <c:v>教育支出</c:v>
                </c:pt>
                <c:pt idx="1">
                  <c:v>社会保障和就业支出</c:v>
                </c:pt>
                <c:pt idx="2">
                  <c:v>卫生健康支出</c:v>
                </c:pt>
                <c:pt idx="3">
                  <c:v>农林水支出</c:v>
                </c:pt>
                <c:pt idx="4">
                  <c:v>住房保障支出</c:v>
                </c:pt>
              </c:strCache>
            </c:strRef>
          </c:cat>
          <c:val>
            <c:numRef>
              <c:f>Sheet2!$A$2:$E$2</c:f>
              <c:numCache>
                <c:formatCode>#,##0.00</c:formatCode>
                <c:ptCount val="5"/>
                <c:pt idx="0">
                  <c:v>4903.83</c:v>
                </c:pt>
                <c:pt idx="1" c:formatCode="General">
                  <c:v>599.15</c:v>
                </c:pt>
                <c:pt idx="2" c:formatCode="General">
                  <c:v>222.19</c:v>
                </c:pt>
                <c:pt idx="3" c:formatCode="General">
                  <c:v>1.38</c:v>
                </c:pt>
                <c:pt idx="4" c:formatCode="General">
                  <c:v>93.7</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5764</Words>
  <Characters>6201</Characters>
  <Lines>45</Lines>
  <Paragraphs>12</Paragraphs>
  <TotalTime>0</TotalTime>
  <ScaleCrop>false</ScaleCrop>
  <LinksUpToDate>false</LinksUpToDate>
  <CharactersWithSpaces>6230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射洪市市教育体育局</cp:lastModifiedBy>
  <cp:lastPrinted>2024-08-17T03:12:00Z</cp:lastPrinted>
  <dcterms:modified xsi:type="dcterms:W3CDTF">2013-01-01T04:18:15Z</dcterms:modified>
  <dc:title>四川省***</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D3EF0DE840864EBDB232C9C60DECA73A_12</vt:lpwstr>
  </property>
</Properties>
</file>