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796A75">
      <w:pPr>
        <w:spacing w:line="360" w:lineRule="auto"/>
        <w:jc w:val="center"/>
        <w:rPr>
          <w:rFonts w:hint="default" w:ascii="方正小标宋简体" w:hAnsi="方正小标宋简体" w:eastAsia="方正小标宋简体"/>
          <w:kern w:val="2"/>
          <w:sz w:val="72"/>
          <w:lang w:val="zh-CN"/>
        </w:rPr>
      </w:pPr>
    </w:p>
    <w:p w14:paraId="6DFC8AC6">
      <w:pPr>
        <w:spacing w:line="360" w:lineRule="auto"/>
        <w:jc w:val="center"/>
        <w:rPr>
          <w:rFonts w:hint="default" w:ascii="方正小标宋简体" w:hAnsi="方正小标宋简体" w:eastAsia="方正小标宋简体"/>
          <w:kern w:val="2"/>
          <w:sz w:val="72"/>
          <w:lang w:val="zh-CN"/>
        </w:rPr>
      </w:pPr>
    </w:p>
    <w:p w14:paraId="49F8F0B1">
      <w:pPr>
        <w:spacing w:line="360" w:lineRule="auto"/>
        <w:jc w:val="center"/>
        <w:rPr>
          <w:rFonts w:hint="default" w:ascii="方正小标宋简体" w:hAnsi="方正小标宋简体" w:eastAsia="方正小标宋简体"/>
          <w:kern w:val="2"/>
          <w:sz w:val="72"/>
          <w:lang w:val="zh-CN"/>
        </w:rPr>
      </w:pPr>
      <w:r>
        <w:rPr>
          <w:rFonts w:ascii="方正小标宋简体" w:hAnsi="方正小标宋简体" w:eastAsia="方正小标宋简体"/>
          <w:kern w:val="2"/>
          <w:sz w:val="72"/>
          <w:lang w:val="zh-CN"/>
        </w:rPr>
        <w:t>202</w:t>
      </w:r>
      <w:r>
        <w:rPr>
          <w:rFonts w:ascii="方正小标宋简体" w:hAnsi="方正小标宋简体" w:eastAsia="方正小标宋简体"/>
          <w:kern w:val="2"/>
          <w:sz w:val="72"/>
        </w:rPr>
        <w:t>3</w:t>
      </w:r>
      <w:r>
        <w:rPr>
          <w:rFonts w:ascii="方正小标宋简体" w:hAnsi="方正小标宋简体" w:eastAsia="方正小标宋简体"/>
          <w:kern w:val="2"/>
          <w:sz w:val="72"/>
          <w:lang w:val="zh-CN"/>
        </w:rPr>
        <w:t>年度</w:t>
      </w:r>
    </w:p>
    <w:p w14:paraId="038F2B59">
      <w:pPr>
        <w:spacing w:line="360" w:lineRule="auto"/>
        <w:jc w:val="center"/>
        <w:rPr>
          <w:rFonts w:hint="default" w:ascii="方正小标宋简体" w:hAnsi="方正小标宋简体" w:eastAsia="方正小标宋简体"/>
          <w:kern w:val="2"/>
          <w:sz w:val="72"/>
          <w:lang w:val="zh-CN"/>
        </w:rPr>
      </w:pPr>
      <w:r>
        <w:rPr>
          <w:rFonts w:ascii="方正小标宋简体" w:hAnsi="方正小标宋简体" w:eastAsia="方正小标宋简体"/>
          <w:kern w:val="2"/>
          <w:sz w:val="72"/>
          <w:lang w:val="zh-CN"/>
        </w:rPr>
        <w:t>射洪市仁和镇初级中学校</w:t>
      </w:r>
    </w:p>
    <w:p w14:paraId="27CB6AA1">
      <w:pPr>
        <w:spacing w:line="360" w:lineRule="auto"/>
        <w:jc w:val="center"/>
        <w:rPr>
          <w:rFonts w:hint="default" w:ascii="方正小标宋简体" w:hAnsi="方正小标宋简体" w:eastAsia="方正小标宋简体"/>
          <w:kern w:val="2"/>
          <w:sz w:val="72"/>
          <w:lang w:val="zh-CN"/>
        </w:rPr>
      </w:pPr>
      <w:r>
        <w:rPr>
          <w:rFonts w:ascii="方正小标宋简体" w:hAnsi="方正小标宋简体" w:eastAsia="方正小标宋简体"/>
          <w:kern w:val="2"/>
          <w:sz w:val="72"/>
        </w:rPr>
        <w:t>单位</w:t>
      </w:r>
      <w:r>
        <w:rPr>
          <w:rFonts w:ascii="方正小标宋简体" w:hAnsi="方正小标宋简体" w:eastAsia="方正小标宋简体"/>
          <w:kern w:val="2"/>
          <w:sz w:val="72"/>
          <w:lang w:val="zh-CN"/>
        </w:rPr>
        <w:t>决算</w:t>
      </w:r>
    </w:p>
    <w:p w14:paraId="5870764D">
      <w:pPr>
        <w:keepNext/>
        <w:keepLines/>
        <w:tabs>
          <w:tab w:val="right" w:leader="dot" w:pos="8296"/>
        </w:tabs>
        <w:spacing w:line="576" w:lineRule="exact"/>
        <w:rPr>
          <w:rFonts w:hint="default" w:ascii="黑体" w:hAnsi="黑体" w:eastAsia="黑体"/>
          <w:b/>
          <w:color w:val="FF0000"/>
          <w:kern w:val="2"/>
          <w:sz w:val="48"/>
          <w:lang w:val="zh-CN"/>
        </w:rPr>
      </w:pPr>
    </w:p>
    <w:p w14:paraId="544641D5">
      <w:pPr>
        <w:jc w:val="center"/>
        <w:rPr>
          <w:rFonts w:hint="default" w:ascii="黑体" w:hAnsi="黑体" w:eastAsia="黑体"/>
          <w:kern w:val="2"/>
          <w:sz w:val="48"/>
          <w:lang w:val="zh-CN"/>
        </w:rPr>
      </w:pPr>
    </w:p>
    <w:p w14:paraId="25F8D170">
      <w:pPr>
        <w:jc w:val="center"/>
        <w:rPr>
          <w:rFonts w:hint="default" w:ascii="黑体" w:hAnsi="黑体" w:eastAsia="黑体"/>
          <w:kern w:val="2"/>
          <w:sz w:val="48"/>
          <w:lang w:val="zh-CN"/>
        </w:rPr>
      </w:pPr>
    </w:p>
    <w:p w14:paraId="1166C788">
      <w:pPr>
        <w:jc w:val="center"/>
        <w:rPr>
          <w:rFonts w:hint="default" w:ascii="黑体" w:hAnsi="黑体" w:eastAsia="黑体"/>
          <w:kern w:val="2"/>
          <w:sz w:val="48"/>
          <w:lang w:val="zh-CN"/>
        </w:rPr>
      </w:pPr>
    </w:p>
    <w:p w14:paraId="22CDF810">
      <w:pPr>
        <w:jc w:val="center"/>
        <w:rPr>
          <w:rFonts w:hint="default" w:ascii="黑体" w:hAnsi="黑体" w:eastAsia="黑体"/>
          <w:kern w:val="2"/>
          <w:sz w:val="48"/>
          <w:lang w:val="zh-CN"/>
        </w:rPr>
      </w:pPr>
    </w:p>
    <w:p w14:paraId="49F3883B">
      <w:pPr>
        <w:jc w:val="center"/>
        <w:rPr>
          <w:rFonts w:hint="default" w:ascii="黑体" w:hAnsi="黑体" w:eastAsia="黑体"/>
          <w:kern w:val="2"/>
          <w:sz w:val="48"/>
          <w:lang w:val="zh-CN"/>
        </w:rPr>
      </w:pPr>
    </w:p>
    <w:p w14:paraId="4EE29CF0">
      <w:pPr>
        <w:jc w:val="center"/>
        <w:rPr>
          <w:rFonts w:hint="default" w:ascii="黑体" w:hAnsi="黑体" w:eastAsia="黑体"/>
          <w:kern w:val="2"/>
          <w:sz w:val="48"/>
          <w:lang w:val="zh-CN"/>
        </w:rPr>
      </w:pPr>
    </w:p>
    <w:p w14:paraId="2EC8780E">
      <w:pPr>
        <w:jc w:val="center"/>
        <w:rPr>
          <w:rFonts w:hint="default" w:ascii="黑体" w:hAnsi="黑体" w:eastAsia="黑体"/>
          <w:kern w:val="2"/>
          <w:sz w:val="48"/>
          <w:lang w:val="zh-CN"/>
        </w:rPr>
      </w:pPr>
    </w:p>
    <w:p w14:paraId="15A105A9">
      <w:pPr>
        <w:jc w:val="center"/>
        <w:rPr>
          <w:rFonts w:hint="default" w:ascii="黑体" w:hAnsi="黑体" w:eastAsia="黑体"/>
          <w:kern w:val="2"/>
          <w:sz w:val="48"/>
          <w:lang w:val="zh-CN"/>
        </w:rPr>
      </w:pPr>
      <w:r>
        <w:rPr>
          <w:rFonts w:ascii="黑体" w:hAnsi="黑体" w:eastAsia="黑体"/>
          <w:kern w:val="2"/>
          <w:sz w:val="48"/>
          <w:lang w:val="zh-CN"/>
        </w:rPr>
        <w:t>目录</w:t>
      </w:r>
    </w:p>
    <w:p w14:paraId="34C248E2">
      <w:pPr>
        <w:tabs>
          <w:tab w:val="right" w:leader="dot" w:pos="8296"/>
        </w:tabs>
        <w:spacing w:before="93"/>
        <w:jc w:val="center"/>
        <w:rPr>
          <w:rFonts w:hint="default" w:ascii="仿宋" w:hAnsi="仿宋" w:eastAsia="仿宋"/>
          <w:kern w:val="2"/>
          <w:sz w:val="28"/>
          <w:lang w:val="zh-CN"/>
        </w:rPr>
      </w:pPr>
      <w:r>
        <w:rPr>
          <w:rFonts w:ascii="仿宋" w:hAnsi="仿宋" w:eastAsia="仿宋"/>
          <w:kern w:val="2"/>
          <w:sz w:val="28"/>
          <w:lang w:val="zh-CN"/>
        </w:rPr>
        <w:t>公开时间：202</w:t>
      </w:r>
      <w:r>
        <w:rPr>
          <w:rFonts w:ascii="仿宋" w:hAnsi="仿宋" w:eastAsia="仿宋"/>
          <w:kern w:val="2"/>
          <w:sz w:val="28"/>
        </w:rPr>
        <w:t>4</w:t>
      </w:r>
      <w:r>
        <w:rPr>
          <w:rFonts w:ascii="仿宋" w:hAnsi="仿宋" w:eastAsia="仿宋"/>
          <w:kern w:val="2"/>
          <w:sz w:val="28"/>
          <w:lang w:val="zh-CN"/>
        </w:rPr>
        <w:t>年</w:t>
      </w:r>
      <w:r>
        <w:rPr>
          <w:rFonts w:ascii="仿宋" w:hAnsi="仿宋" w:eastAsia="仿宋"/>
          <w:kern w:val="2"/>
          <w:sz w:val="28"/>
        </w:rPr>
        <w:t>9</w:t>
      </w:r>
      <w:r>
        <w:rPr>
          <w:rFonts w:ascii="仿宋" w:hAnsi="仿宋" w:eastAsia="仿宋"/>
          <w:kern w:val="2"/>
          <w:sz w:val="28"/>
          <w:lang w:val="zh-CN"/>
        </w:rPr>
        <w:t>月</w:t>
      </w:r>
      <w:r>
        <w:rPr>
          <w:rFonts w:ascii="仿宋" w:hAnsi="仿宋" w:eastAsia="仿宋"/>
          <w:kern w:val="2"/>
          <w:sz w:val="28"/>
        </w:rPr>
        <w:t>15</w:t>
      </w:r>
      <w:r>
        <w:rPr>
          <w:rFonts w:ascii="仿宋" w:hAnsi="仿宋" w:eastAsia="仿宋"/>
          <w:kern w:val="2"/>
          <w:sz w:val="28"/>
          <w:lang w:val="zh-CN"/>
        </w:rPr>
        <w:t>日</w:t>
      </w:r>
    </w:p>
    <w:p w14:paraId="47EA98CD">
      <w:pPr>
        <w:jc w:val="both"/>
        <w:rPr>
          <w:rFonts w:hint="default" w:eastAsia="Times New Roman"/>
          <w:kern w:val="2"/>
          <w:sz w:val="21"/>
          <w:lang w:val="zh-CN"/>
        </w:rPr>
      </w:pPr>
    </w:p>
    <w:p w14:paraId="429468E1">
      <w:pPr>
        <w:pStyle w:val="8"/>
        <w:snapToGrid w:val="0"/>
        <w:spacing w:before="0" w:line="440" w:lineRule="exact"/>
        <w:jc w:val="left"/>
        <w:rPr>
          <w:rFonts w:hint="default"/>
          <w:sz w:val="24"/>
        </w:rPr>
      </w:pPr>
      <w:r>
        <w:rPr>
          <w:kern w:val="2"/>
          <w:sz w:val="24"/>
          <w:lang w:val="zh-CN"/>
        </w:rPr>
        <w:t>第一部分 单位概况</w:t>
      </w:r>
      <w:r>
        <w:rPr>
          <w:sz w:val="24"/>
        </w:rPr>
        <w:t>………………………………………………… ………………….4</w:t>
      </w:r>
    </w:p>
    <w:p w14:paraId="662EFA2F">
      <w:pPr>
        <w:pStyle w:val="8"/>
        <w:snapToGrid w:val="0"/>
        <w:spacing w:before="0" w:line="440" w:lineRule="exact"/>
        <w:ind w:firstLine="480" w:firstLineChars="200"/>
        <w:jc w:val="left"/>
        <w:rPr>
          <w:rFonts w:hint="default"/>
          <w:kern w:val="2"/>
          <w:sz w:val="24"/>
          <w:lang w:val="zh-CN"/>
        </w:rPr>
      </w:pPr>
      <w:r>
        <w:rPr>
          <w:rFonts w:ascii="宋体" w:hAnsi="宋体" w:eastAsia="宋体"/>
          <w:kern w:val="2"/>
          <w:sz w:val="24"/>
          <w:lang w:val="zh-CN"/>
        </w:rPr>
        <w:t>一、部门职责………………………………………………………</w:t>
      </w:r>
      <w:r>
        <w:rPr>
          <w:rFonts w:ascii="宋体" w:hAnsi="宋体" w:eastAsia="宋体"/>
          <w:kern w:val="2"/>
          <w:sz w:val="24"/>
        </w:rPr>
        <w:t xml:space="preserve"> </w:t>
      </w:r>
      <w:r>
        <w:rPr>
          <w:rFonts w:ascii="宋体" w:hAnsi="宋体" w:eastAsia="宋体"/>
          <w:kern w:val="2"/>
          <w:sz w:val="24"/>
          <w:lang w:val="zh-CN"/>
        </w:rPr>
        <w:t>………………</w:t>
      </w:r>
      <w:r>
        <w:rPr>
          <w:sz w:val="24"/>
        </w:rPr>
        <w:t>4</w:t>
      </w:r>
    </w:p>
    <w:p w14:paraId="62F07BE0">
      <w:pPr>
        <w:pStyle w:val="8"/>
        <w:snapToGrid w:val="0"/>
        <w:spacing w:before="0" w:line="440" w:lineRule="exact"/>
        <w:ind w:firstLine="480" w:firstLineChars="200"/>
        <w:jc w:val="left"/>
        <w:rPr>
          <w:rFonts w:hint="default"/>
          <w:kern w:val="2"/>
          <w:sz w:val="24"/>
          <w:lang w:val="zh-CN"/>
        </w:rPr>
      </w:pPr>
      <w:r>
        <w:rPr>
          <w:rFonts w:ascii="宋体" w:hAnsi="宋体" w:eastAsia="宋体"/>
          <w:kern w:val="2"/>
          <w:sz w:val="24"/>
          <w:lang w:val="zh-CN"/>
        </w:rPr>
        <w:t>二、机构设置</w:t>
      </w:r>
      <w:r>
        <w:rPr>
          <w:rFonts w:ascii="宋体" w:eastAsia="宋体"/>
          <w:sz w:val="24"/>
        </w:rPr>
        <w:t>……………………………………………………… ………………</w:t>
      </w:r>
      <w:r>
        <w:rPr>
          <w:sz w:val="24"/>
        </w:rPr>
        <w:t>4</w:t>
      </w:r>
    </w:p>
    <w:p w14:paraId="01C55D12">
      <w:pPr>
        <w:tabs>
          <w:tab w:val="right" w:leader="dot" w:pos="8296"/>
        </w:tabs>
        <w:spacing w:line="440" w:lineRule="exact"/>
        <w:ind w:left="480" w:hanging="480" w:hangingChars="200"/>
        <w:rPr>
          <w:rFonts w:hint="default" w:ascii="宋体" w:hAnsi="仿宋"/>
          <w:kern w:val="2"/>
        </w:rPr>
      </w:pPr>
      <w:r>
        <w:rPr>
          <w:rFonts w:ascii="仿宋" w:hAnsi="仿宋" w:eastAsia="仿宋"/>
          <w:kern w:val="2"/>
          <w:lang w:val="zh-CN"/>
        </w:rPr>
        <w:t>第二部分 202</w:t>
      </w:r>
      <w:r>
        <w:rPr>
          <w:rFonts w:ascii="仿宋" w:hAnsi="仿宋" w:eastAsia="仿宋"/>
          <w:kern w:val="2"/>
        </w:rPr>
        <w:t>3</w:t>
      </w:r>
      <w:r>
        <w:rPr>
          <w:rFonts w:ascii="仿宋" w:hAnsi="仿宋" w:eastAsia="仿宋"/>
          <w:kern w:val="2"/>
          <w:lang w:val="zh-CN"/>
        </w:rPr>
        <w:t>年度单位决算情况说明</w:t>
      </w:r>
      <w:r>
        <w:rPr>
          <w:rFonts w:ascii="仿宋" w:hAnsi="仿宋" w:eastAsia="仿宋"/>
          <w:kern w:val="2"/>
        </w:rPr>
        <w:t xml:space="preserve"> </w:t>
      </w:r>
      <w:r>
        <w:rPr>
          <w:rFonts w:ascii="仿宋" w:hAnsi="仿宋" w:eastAsia="仿宋"/>
          <w:kern w:val="2"/>
          <w:lang w:val="zh-CN"/>
        </w:rPr>
        <w:t>………………………</w:t>
      </w:r>
      <w:r>
        <w:rPr>
          <w:rFonts w:ascii="仿宋" w:hAnsi="仿宋" w:eastAsia="仿宋"/>
          <w:kern w:val="2"/>
        </w:rPr>
        <w:t xml:space="preserve"> </w:t>
      </w:r>
      <w:r>
        <w:rPr>
          <w:rFonts w:ascii="仿宋" w:hAnsi="仿宋" w:eastAsia="仿宋"/>
          <w:kern w:val="2"/>
          <w:lang w:val="zh-CN"/>
        </w:rPr>
        <w:t>………………………</w:t>
      </w:r>
      <w:r>
        <w:rPr>
          <w:rFonts w:ascii="仿宋" w:hAnsi="仿宋" w:eastAsia="仿宋"/>
          <w:kern w:val="2"/>
        </w:rPr>
        <w:t>5</w:t>
      </w:r>
      <w:r>
        <w:rPr>
          <w:rFonts w:ascii="宋体" w:hAnsi="宋体" w:cs="宋体"/>
          <w:kern w:val="2"/>
          <w:lang w:val="zh-CN"/>
        </w:rPr>
        <w:t>一、收入支出决算总体情况说明</w:t>
      </w:r>
      <w:r>
        <w:rPr>
          <w:rFonts w:ascii="宋体" w:hAnsi="宋体" w:cs="宋体"/>
          <w:kern w:val="2"/>
        </w:rPr>
        <w:t xml:space="preserve">  </w:t>
      </w:r>
      <w:r>
        <w:rPr>
          <w:rFonts w:ascii="宋体" w:hAnsi="宋体" w:cs="宋体"/>
          <w:kern w:val="2"/>
          <w:lang w:val="zh-CN"/>
        </w:rPr>
        <w:t>……………………</w:t>
      </w:r>
      <w:r>
        <w:rPr>
          <w:rFonts w:ascii="宋体" w:hAnsi="宋体" w:cs="宋体"/>
          <w:kern w:val="2"/>
        </w:rPr>
        <w:t xml:space="preserve"> </w:t>
      </w:r>
      <w:r>
        <w:rPr>
          <w:rFonts w:ascii="宋体" w:hAnsi="宋体" w:cs="宋体"/>
          <w:kern w:val="2"/>
          <w:lang w:val="zh-CN"/>
        </w:rPr>
        <w:t>…………………………</w:t>
      </w:r>
      <w:r>
        <w:rPr>
          <w:rFonts w:ascii="宋体" w:hAnsi="宋体" w:cs="宋体"/>
          <w:kern w:val="2"/>
        </w:rPr>
        <w:t>5</w:t>
      </w:r>
    </w:p>
    <w:p w14:paraId="7BF86F56">
      <w:pPr>
        <w:tabs>
          <w:tab w:val="right" w:leader="dot" w:pos="8296"/>
        </w:tabs>
        <w:spacing w:line="440" w:lineRule="exact"/>
        <w:ind w:left="420"/>
        <w:rPr>
          <w:rFonts w:hint="default" w:ascii="宋体" w:hAnsi="仿宋"/>
          <w:kern w:val="2"/>
        </w:rPr>
      </w:pPr>
      <w:r>
        <w:rPr>
          <w:rFonts w:ascii="宋体" w:hAnsi="宋体" w:cs="宋体"/>
          <w:kern w:val="2"/>
          <w:lang w:val="zh-CN"/>
        </w:rPr>
        <w:t>二、收入决算情况说明……………………………</w:t>
      </w:r>
      <w:r>
        <w:rPr>
          <w:rFonts w:ascii="宋体" w:hAnsi="宋体" w:cs="宋体"/>
          <w:kern w:val="2"/>
        </w:rPr>
        <w:t xml:space="preserve">  </w:t>
      </w:r>
      <w:r>
        <w:rPr>
          <w:rFonts w:ascii="宋体" w:hAnsi="宋体" w:cs="宋体"/>
          <w:kern w:val="2"/>
          <w:lang w:val="zh-CN"/>
        </w:rPr>
        <w:t>………………………………</w:t>
      </w:r>
      <w:r>
        <w:rPr>
          <w:rFonts w:ascii="宋体" w:hAnsi="宋体" w:cs="宋体"/>
          <w:kern w:val="2"/>
        </w:rPr>
        <w:t>5</w:t>
      </w:r>
    </w:p>
    <w:p w14:paraId="2053566E">
      <w:pPr>
        <w:tabs>
          <w:tab w:val="right" w:leader="dot" w:pos="8296"/>
        </w:tabs>
        <w:spacing w:line="440" w:lineRule="exact"/>
        <w:ind w:left="420"/>
        <w:rPr>
          <w:rFonts w:hint="default" w:ascii="仿宋" w:hAnsi="仿宋" w:eastAsia="仿宋"/>
          <w:kern w:val="2"/>
        </w:rPr>
      </w:pPr>
      <w:r>
        <w:rPr>
          <w:rFonts w:ascii="宋体" w:hAnsi="宋体" w:cs="宋体"/>
          <w:kern w:val="2"/>
          <w:lang w:val="zh-CN"/>
        </w:rPr>
        <w:t>三、支出决算情况说明………………………</w:t>
      </w:r>
      <w:r>
        <w:rPr>
          <w:rFonts w:ascii="宋体" w:hAnsi="宋体" w:cs="宋体"/>
          <w:kern w:val="2"/>
        </w:rPr>
        <w:t xml:space="preserve">  </w:t>
      </w:r>
      <w:r>
        <w:rPr>
          <w:rFonts w:ascii="宋体" w:hAnsi="宋体" w:cs="宋体"/>
          <w:kern w:val="2"/>
          <w:lang w:val="zh-CN"/>
        </w:rPr>
        <w:t>……………………………………</w:t>
      </w:r>
      <w:r>
        <w:rPr>
          <w:rFonts w:ascii="宋体" w:hAnsi="宋体" w:cs="宋体"/>
          <w:kern w:val="2"/>
        </w:rPr>
        <w:t>6</w:t>
      </w:r>
    </w:p>
    <w:p w14:paraId="1A78D31D">
      <w:pPr>
        <w:tabs>
          <w:tab w:val="right" w:leader="dot" w:pos="8296"/>
        </w:tabs>
        <w:spacing w:line="440" w:lineRule="exact"/>
        <w:ind w:left="420"/>
        <w:rPr>
          <w:rFonts w:hint="default" w:ascii="宋体" w:hAnsi="仿宋"/>
          <w:kern w:val="2"/>
        </w:rPr>
      </w:pPr>
      <w:r>
        <w:rPr>
          <w:rFonts w:ascii="宋体" w:hAnsi="宋体" w:cs="宋体"/>
          <w:kern w:val="2"/>
          <w:lang w:val="zh-CN"/>
        </w:rPr>
        <w:t>四、财政拨款收入支出决算总体情况说明…………………………………………</w:t>
      </w:r>
      <w:r>
        <w:rPr>
          <w:rFonts w:ascii="宋体" w:hAnsi="宋体" w:cs="宋体"/>
          <w:kern w:val="2"/>
        </w:rPr>
        <w:t>6</w:t>
      </w:r>
    </w:p>
    <w:p w14:paraId="79D0E066">
      <w:pPr>
        <w:tabs>
          <w:tab w:val="right" w:leader="dot" w:pos="8296"/>
        </w:tabs>
        <w:spacing w:line="440" w:lineRule="exact"/>
        <w:ind w:left="420"/>
        <w:rPr>
          <w:rFonts w:hint="default" w:ascii="宋体" w:hAnsi="仿宋"/>
          <w:kern w:val="2"/>
        </w:rPr>
      </w:pPr>
      <w:r>
        <w:rPr>
          <w:rFonts w:ascii="宋体" w:hAnsi="宋体" w:cs="宋体"/>
          <w:kern w:val="2"/>
          <w:lang w:val="zh-CN"/>
        </w:rPr>
        <w:t>五、一般公共预算财政拨款支出决算情况说明……………………………………</w:t>
      </w:r>
      <w:r>
        <w:rPr>
          <w:rFonts w:ascii="宋体" w:hAnsi="宋体" w:cs="宋体"/>
          <w:kern w:val="2"/>
        </w:rPr>
        <w:t>7</w:t>
      </w:r>
    </w:p>
    <w:p w14:paraId="5FB565FB">
      <w:pPr>
        <w:tabs>
          <w:tab w:val="right" w:leader="dot" w:pos="8296"/>
        </w:tabs>
        <w:spacing w:line="440" w:lineRule="exact"/>
        <w:ind w:left="420"/>
        <w:rPr>
          <w:rFonts w:hint="default" w:ascii="宋体" w:hAnsi="仿宋"/>
          <w:kern w:val="2"/>
        </w:rPr>
      </w:pPr>
      <w:r>
        <w:rPr>
          <w:rFonts w:ascii="宋体" w:hAnsi="宋体" w:cs="宋体"/>
          <w:kern w:val="2"/>
          <w:lang w:val="zh-CN"/>
        </w:rPr>
        <w:t>六、一般公共预算财政拨款基本支出决算情况说明………………………………</w:t>
      </w:r>
      <w:r>
        <w:rPr>
          <w:rFonts w:ascii="宋体" w:hAnsi="宋体" w:cs="宋体"/>
          <w:kern w:val="2"/>
        </w:rPr>
        <w:t>8</w:t>
      </w:r>
    </w:p>
    <w:p w14:paraId="0FB04365">
      <w:pPr>
        <w:tabs>
          <w:tab w:val="right" w:leader="dot" w:pos="8296"/>
        </w:tabs>
        <w:spacing w:line="440" w:lineRule="exact"/>
        <w:ind w:left="420"/>
        <w:rPr>
          <w:rFonts w:hint="default" w:ascii="宋体" w:hAnsi="仿宋"/>
          <w:kern w:val="2"/>
        </w:rPr>
      </w:pPr>
      <w:r>
        <w:rPr>
          <w:rFonts w:ascii="宋体" w:hAnsi="宋体" w:cs="宋体"/>
          <w:kern w:val="2"/>
          <w:lang w:val="zh-CN"/>
        </w:rPr>
        <w:t>七、财政拨款“三公”经费支出决算情况说明……………………………………</w:t>
      </w:r>
      <w:r>
        <w:rPr>
          <w:rFonts w:ascii="宋体" w:hAnsi="宋体" w:cs="宋体"/>
          <w:kern w:val="2"/>
        </w:rPr>
        <w:t>9</w:t>
      </w:r>
    </w:p>
    <w:p w14:paraId="73E533E3">
      <w:pPr>
        <w:tabs>
          <w:tab w:val="right" w:leader="dot" w:pos="8296"/>
        </w:tabs>
        <w:spacing w:line="440" w:lineRule="exact"/>
        <w:ind w:left="420"/>
        <w:rPr>
          <w:rFonts w:hint="default" w:ascii="宋体" w:hAnsi="仿宋"/>
          <w:kern w:val="2"/>
        </w:rPr>
      </w:pPr>
      <w:r>
        <w:rPr>
          <w:rFonts w:ascii="宋体" w:hAnsi="宋体" w:cs="宋体"/>
          <w:kern w:val="2"/>
          <w:lang w:val="zh-CN"/>
        </w:rPr>
        <w:t>八、政府性基金预算支出决算情况说明……………………………………………</w:t>
      </w:r>
      <w:r>
        <w:rPr>
          <w:rFonts w:ascii="宋体" w:hAnsi="宋体" w:cs="宋体"/>
          <w:kern w:val="2"/>
        </w:rPr>
        <w:t>9</w:t>
      </w:r>
    </w:p>
    <w:p w14:paraId="5E6FE7BA">
      <w:pPr>
        <w:tabs>
          <w:tab w:val="right" w:leader="dot" w:pos="8296"/>
        </w:tabs>
        <w:spacing w:line="440" w:lineRule="exact"/>
        <w:ind w:left="420"/>
        <w:rPr>
          <w:rFonts w:hint="default" w:ascii="宋体" w:hAnsi="宋体" w:cs="宋体"/>
          <w:kern w:val="2"/>
        </w:rPr>
      </w:pPr>
      <w:r>
        <w:rPr>
          <w:rFonts w:ascii="宋体" w:hAnsi="宋体" w:cs="宋体"/>
          <w:kern w:val="2"/>
          <w:lang w:val="zh-CN"/>
        </w:rPr>
        <w:t>九、国有资本经营预算支出决算情况说明…………………</w:t>
      </w:r>
      <w:r>
        <w:rPr>
          <w:rFonts w:ascii="宋体" w:hAnsi="宋体" w:cs="宋体"/>
          <w:kern w:val="2"/>
        </w:rPr>
        <w:t xml:space="preserve"> </w:t>
      </w:r>
      <w:r>
        <w:rPr>
          <w:rFonts w:ascii="宋体" w:hAnsi="宋体" w:cs="宋体"/>
          <w:kern w:val="2"/>
          <w:lang w:val="zh-CN"/>
        </w:rPr>
        <w:t>……………………</w:t>
      </w:r>
      <w:r>
        <w:rPr>
          <w:rFonts w:ascii="宋体" w:hAnsi="宋体" w:cs="宋体"/>
          <w:kern w:val="2"/>
        </w:rPr>
        <w:t>10</w:t>
      </w:r>
    </w:p>
    <w:p w14:paraId="691432BE">
      <w:pPr>
        <w:keepNext/>
        <w:keepLines/>
        <w:spacing w:line="440" w:lineRule="exact"/>
        <w:ind w:firstLine="420"/>
        <w:rPr>
          <w:rFonts w:hint="default" w:ascii="宋体" w:hAnsi="宋体" w:cs="宋体"/>
          <w:kern w:val="2"/>
        </w:rPr>
      </w:pPr>
      <w:r>
        <w:rPr>
          <w:rFonts w:ascii="宋体" w:hAnsi="宋体" w:cs="宋体"/>
          <w:kern w:val="2"/>
          <w:lang w:val="zh-CN"/>
        </w:rPr>
        <w:t>十、其他重要事项的情况说明</w:t>
      </w:r>
      <w:r>
        <w:rPr>
          <w:rFonts w:cs="宋体"/>
          <w:kern w:val="2"/>
          <w:lang w:val="zh-CN"/>
        </w:rPr>
        <w:tab/>
      </w:r>
      <w:r>
        <w:rPr>
          <w:rFonts w:ascii="宋体" w:hAnsi="宋体" w:cs="宋体"/>
          <w:kern w:val="2"/>
          <w:lang w:val="zh-CN"/>
        </w:rPr>
        <w:t>……………………………………………………</w:t>
      </w:r>
      <w:r>
        <w:rPr>
          <w:rFonts w:ascii="宋体" w:hAnsi="宋体" w:cs="宋体"/>
          <w:kern w:val="2"/>
        </w:rPr>
        <w:t>10</w:t>
      </w:r>
    </w:p>
    <w:p w14:paraId="6A393D8A">
      <w:pPr>
        <w:tabs>
          <w:tab w:val="right" w:leader="dot" w:pos="8296"/>
        </w:tabs>
        <w:spacing w:line="440" w:lineRule="exact"/>
        <w:rPr>
          <w:rFonts w:hint="default" w:ascii="仿宋" w:hAnsi="仿宋" w:eastAsia="仿宋"/>
          <w:kern w:val="2"/>
        </w:rPr>
      </w:pPr>
      <w:r>
        <w:rPr>
          <w:rFonts w:ascii="仿宋" w:hAnsi="仿宋" w:eastAsia="仿宋"/>
          <w:kern w:val="2"/>
          <w:lang w:val="zh-CN"/>
        </w:rPr>
        <w:t>第三部分 名词解释</w:t>
      </w:r>
      <w:r>
        <w:rPr>
          <w:rFonts w:ascii="仿宋" w:hAnsi="仿宋" w:eastAsia="仿宋"/>
          <w:kern w:val="2"/>
        </w:rPr>
        <w:t xml:space="preserve"> </w:t>
      </w:r>
      <w:r>
        <w:rPr>
          <w:rFonts w:ascii="宋体" w:hAnsi="宋体" w:cs="宋体"/>
          <w:kern w:val="2"/>
          <w:lang w:val="zh-CN"/>
        </w:rPr>
        <w:t>……………………………………………………………………</w:t>
      </w:r>
      <w:r>
        <w:rPr>
          <w:rFonts w:ascii="宋体" w:hAnsi="宋体" w:cs="宋体"/>
          <w:kern w:val="2"/>
        </w:rPr>
        <w:t>12</w:t>
      </w:r>
    </w:p>
    <w:p w14:paraId="05D29121">
      <w:pPr>
        <w:tabs>
          <w:tab w:val="right" w:leader="dot" w:pos="8296"/>
        </w:tabs>
        <w:spacing w:line="440" w:lineRule="exact"/>
        <w:rPr>
          <w:rFonts w:hint="default" w:ascii="仿宋" w:hAnsi="仿宋" w:eastAsia="仿宋"/>
          <w:kern w:val="2"/>
        </w:rPr>
      </w:pPr>
      <w:r>
        <w:rPr>
          <w:rFonts w:ascii="仿宋" w:hAnsi="仿宋" w:eastAsia="仿宋"/>
          <w:kern w:val="2"/>
          <w:lang w:val="zh-CN"/>
        </w:rPr>
        <w:t>第四部分</w:t>
      </w:r>
      <w:r>
        <w:rPr>
          <w:rFonts w:ascii="仿宋" w:hAnsi="仿宋" w:eastAsia="仿宋"/>
          <w:kern w:val="2"/>
        </w:rPr>
        <w:t xml:space="preserve"> </w:t>
      </w:r>
      <w:r>
        <w:rPr>
          <w:rFonts w:ascii="仿宋" w:hAnsi="仿宋" w:eastAsia="仿宋"/>
          <w:kern w:val="2"/>
          <w:lang w:val="zh-CN"/>
        </w:rPr>
        <w:t>附件</w:t>
      </w:r>
      <w:r>
        <w:rPr>
          <w:rFonts w:ascii="宋体" w:hAnsi="宋体" w:cs="宋体"/>
          <w:kern w:val="2"/>
        </w:rPr>
        <w:t>………………… ………………………………………………………13</w:t>
      </w:r>
    </w:p>
    <w:p w14:paraId="32D1D987">
      <w:pPr>
        <w:tabs>
          <w:tab w:val="right" w:leader="dot" w:pos="8296"/>
        </w:tabs>
        <w:spacing w:line="440" w:lineRule="exact"/>
        <w:rPr>
          <w:rFonts w:hint="default" w:ascii="仿宋" w:hAnsi="仿宋"/>
          <w:kern w:val="2"/>
        </w:rPr>
      </w:pPr>
      <w:r>
        <w:rPr>
          <w:rFonts w:ascii="仿宋" w:hAnsi="仿宋" w:eastAsia="仿宋"/>
          <w:kern w:val="2"/>
          <w:lang w:val="zh-CN"/>
        </w:rPr>
        <w:t>第五部分 附表</w:t>
      </w:r>
      <w:r>
        <w:rPr>
          <w:rFonts w:ascii="宋体" w:hAnsi="宋体" w:cs="宋体"/>
          <w:kern w:val="2"/>
          <w:lang w:val="zh-CN"/>
        </w:rPr>
        <w:t>…………………………………………</w:t>
      </w:r>
      <w:r>
        <w:rPr>
          <w:rFonts w:ascii="宋体" w:hAnsi="宋体" w:cs="宋体"/>
          <w:kern w:val="2"/>
        </w:rPr>
        <w:t xml:space="preserve"> </w:t>
      </w:r>
      <w:r>
        <w:rPr>
          <w:rFonts w:ascii="宋体" w:hAnsi="宋体" w:cs="宋体"/>
          <w:kern w:val="2"/>
          <w:lang w:val="zh-CN"/>
        </w:rPr>
        <w:t>………………………………</w:t>
      </w:r>
      <w:r>
        <w:rPr>
          <w:rFonts w:ascii="宋体" w:hAnsi="宋体" w:cs="宋体"/>
          <w:kern w:val="2"/>
        </w:rPr>
        <w:t>14</w:t>
      </w:r>
    </w:p>
    <w:p w14:paraId="6DC45A54">
      <w:pPr>
        <w:tabs>
          <w:tab w:val="right" w:leader="dot" w:pos="8296"/>
        </w:tabs>
        <w:spacing w:line="440" w:lineRule="exact"/>
        <w:ind w:left="420"/>
        <w:rPr>
          <w:rFonts w:hint="default" w:cs="宋体"/>
          <w:kern w:val="2"/>
          <w:lang w:val="zh-CN"/>
        </w:rPr>
      </w:pPr>
      <w:r>
        <w:rPr>
          <w:rFonts w:ascii="宋体" w:hAnsi="宋体" w:cs="宋体"/>
          <w:kern w:val="2"/>
          <w:lang w:val="zh-CN"/>
        </w:rPr>
        <w:t>一、收入支出决算总表</w:t>
      </w:r>
    </w:p>
    <w:p w14:paraId="1F465261">
      <w:pPr>
        <w:tabs>
          <w:tab w:val="right" w:leader="dot" w:pos="8296"/>
        </w:tabs>
        <w:spacing w:line="440" w:lineRule="exact"/>
        <w:ind w:left="420"/>
        <w:rPr>
          <w:rFonts w:hint="default" w:cs="宋体"/>
          <w:kern w:val="2"/>
          <w:lang w:val="zh-CN"/>
        </w:rPr>
      </w:pPr>
      <w:r>
        <w:rPr>
          <w:rFonts w:ascii="宋体" w:hAnsi="宋体" w:cs="宋体"/>
          <w:kern w:val="2"/>
          <w:lang w:val="zh-CN"/>
        </w:rPr>
        <w:t>二、收入决算表</w:t>
      </w:r>
    </w:p>
    <w:p w14:paraId="5F69713A">
      <w:pPr>
        <w:tabs>
          <w:tab w:val="right" w:leader="dot" w:pos="8296"/>
        </w:tabs>
        <w:spacing w:line="440" w:lineRule="exact"/>
        <w:ind w:left="420"/>
        <w:rPr>
          <w:rFonts w:hint="default" w:cs="宋体"/>
          <w:kern w:val="2"/>
          <w:lang w:val="zh-CN"/>
        </w:rPr>
      </w:pPr>
      <w:r>
        <w:rPr>
          <w:rFonts w:ascii="宋体" w:hAnsi="宋体" w:cs="宋体"/>
          <w:kern w:val="2"/>
          <w:lang w:val="zh-CN"/>
        </w:rPr>
        <w:t>三、支出决算表</w:t>
      </w:r>
    </w:p>
    <w:p w14:paraId="4AF75C8F">
      <w:pPr>
        <w:tabs>
          <w:tab w:val="right" w:leader="dot" w:pos="8296"/>
        </w:tabs>
        <w:spacing w:line="440" w:lineRule="exact"/>
        <w:ind w:left="420"/>
        <w:rPr>
          <w:rFonts w:hint="default" w:cs="宋体"/>
          <w:kern w:val="2"/>
          <w:lang w:val="zh-CN"/>
        </w:rPr>
      </w:pPr>
      <w:r>
        <w:rPr>
          <w:rFonts w:ascii="宋体" w:hAnsi="宋体" w:cs="宋体"/>
          <w:kern w:val="2"/>
          <w:lang w:val="zh-CN"/>
        </w:rPr>
        <w:t>四、财政拨款收入支出决算总表</w:t>
      </w:r>
    </w:p>
    <w:p w14:paraId="58CFA7D9">
      <w:pPr>
        <w:tabs>
          <w:tab w:val="right" w:leader="dot" w:pos="8296"/>
        </w:tabs>
        <w:spacing w:line="440" w:lineRule="exact"/>
        <w:ind w:left="420"/>
        <w:rPr>
          <w:rFonts w:hint="default" w:cs="宋体"/>
          <w:kern w:val="2"/>
          <w:lang w:val="zh-CN"/>
        </w:rPr>
      </w:pPr>
      <w:r>
        <w:rPr>
          <w:rFonts w:ascii="宋体" w:hAnsi="宋体" w:cs="宋体"/>
          <w:kern w:val="2"/>
          <w:lang w:val="zh-CN"/>
        </w:rPr>
        <w:t>五、财政拨款支出决算明细表</w:t>
      </w:r>
    </w:p>
    <w:p w14:paraId="46385A58">
      <w:pPr>
        <w:tabs>
          <w:tab w:val="right" w:leader="dot" w:pos="8296"/>
        </w:tabs>
        <w:spacing w:line="440" w:lineRule="exact"/>
        <w:ind w:left="420"/>
        <w:rPr>
          <w:rFonts w:hint="default" w:cs="宋体"/>
          <w:kern w:val="2"/>
          <w:lang w:val="zh-CN"/>
        </w:rPr>
      </w:pPr>
      <w:r>
        <w:rPr>
          <w:rFonts w:ascii="宋体" w:hAnsi="宋体" w:cs="宋体"/>
          <w:kern w:val="2"/>
          <w:lang w:val="zh-CN"/>
        </w:rPr>
        <w:t>六、一般公共预算财政拨款支出决算表</w:t>
      </w:r>
    </w:p>
    <w:p w14:paraId="5731D17A">
      <w:pPr>
        <w:tabs>
          <w:tab w:val="right" w:leader="dot" w:pos="8296"/>
        </w:tabs>
        <w:spacing w:line="440" w:lineRule="exact"/>
        <w:ind w:left="420"/>
        <w:rPr>
          <w:rFonts w:hint="default" w:cs="宋体"/>
          <w:kern w:val="2"/>
          <w:lang w:val="zh-CN"/>
        </w:rPr>
      </w:pPr>
      <w:r>
        <w:rPr>
          <w:rFonts w:ascii="宋体" w:hAnsi="宋体" w:cs="宋体"/>
          <w:kern w:val="2"/>
          <w:lang w:val="zh-CN"/>
        </w:rPr>
        <w:t>七、一般公共预算财政拨款支出决算明细表</w:t>
      </w:r>
    </w:p>
    <w:p w14:paraId="2F69EF63">
      <w:pPr>
        <w:tabs>
          <w:tab w:val="right" w:leader="dot" w:pos="8296"/>
        </w:tabs>
        <w:spacing w:line="440" w:lineRule="exact"/>
        <w:ind w:left="420"/>
        <w:rPr>
          <w:rFonts w:hint="default" w:cs="宋体"/>
          <w:kern w:val="2"/>
          <w:lang w:val="zh-CN"/>
        </w:rPr>
      </w:pPr>
      <w:r>
        <w:rPr>
          <w:rFonts w:ascii="宋体" w:hAnsi="宋体" w:cs="宋体"/>
          <w:kern w:val="2"/>
          <w:lang w:val="zh-CN"/>
        </w:rPr>
        <w:t>八、一般公共预算财政拨款基本支出决算明细表</w:t>
      </w:r>
    </w:p>
    <w:p w14:paraId="59630A53">
      <w:pPr>
        <w:tabs>
          <w:tab w:val="right" w:leader="dot" w:pos="8296"/>
        </w:tabs>
        <w:spacing w:line="440" w:lineRule="exact"/>
        <w:ind w:left="420"/>
        <w:rPr>
          <w:rFonts w:hint="default" w:cs="宋体"/>
          <w:kern w:val="2"/>
          <w:lang w:val="zh-CN"/>
        </w:rPr>
      </w:pPr>
      <w:r>
        <w:rPr>
          <w:rFonts w:ascii="宋体" w:hAnsi="宋体" w:cs="宋体"/>
          <w:kern w:val="2"/>
          <w:lang w:val="zh-CN"/>
        </w:rPr>
        <w:t>九、一般公共预算财政拨款项目支出决算表</w:t>
      </w:r>
    </w:p>
    <w:p w14:paraId="0CB70CB4">
      <w:pPr>
        <w:tabs>
          <w:tab w:val="right" w:leader="dot" w:pos="8296"/>
        </w:tabs>
        <w:spacing w:line="440" w:lineRule="exact"/>
        <w:ind w:left="420"/>
        <w:rPr>
          <w:rFonts w:hint="default" w:cs="宋体"/>
          <w:kern w:val="2"/>
          <w:lang w:val="zh-CN"/>
        </w:rPr>
      </w:pPr>
      <w:r>
        <w:rPr>
          <w:rFonts w:ascii="宋体" w:hAnsi="宋体" w:cs="宋体"/>
          <w:kern w:val="2"/>
          <w:lang w:val="zh-CN"/>
        </w:rPr>
        <w:t>十、政府性基金预算财政拨款收入支出决算表</w:t>
      </w:r>
    </w:p>
    <w:p w14:paraId="760E1AEE">
      <w:pPr>
        <w:tabs>
          <w:tab w:val="right" w:leader="dot" w:pos="8296"/>
        </w:tabs>
        <w:spacing w:line="440" w:lineRule="exact"/>
        <w:ind w:left="420"/>
        <w:rPr>
          <w:rFonts w:hint="default" w:cs="宋体"/>
          <w:kern w:val="2"/>
          <w:lang w:val="zh-CN"/>
        </w:rPr>
      </w:pPr>
      <w:r>
        <w:rPr>
          <w:rFonts w:ascii="宋体" w:hAnsi="宋体" w:cs="宋体"/>
          <w:kern w:val="2"/>
          <w:lang w:val="zh-CN"/>
        </w:rPr>
        <w:t>十一、国有资本经营预算财政拨款收入支出决算表</w:t>
      </w:r>
    </w:p>
    <w:p w14:paraId="4169BB74">
      <w:pPr>
        <w:tabs>
          <w:tab w:val="right" w:leader="dot" w:pos="8296"/>
        </w:tabs>
        <w:spacing w:line="440" w:lineRule="exact"/>
        <w:ind w:left="420"/>
        <w:rPr>
          <w:rFonts w:hint="default" w:cs="宋体"/>
          <w:kern w:val="2"/>
          <w:lang w:val="zh-CN"/>
        </w:rPr>
      </w:pPr>
      <w:r>
        <w:rPr>
          <w:rFonts w:ascii="宋体" w:hAnsi="宋体" w:cs="宋体"/>
          <w:kern w:val="2"/>
          <w:lang w:val="zh-CN"/>
        </w:rPr>
        <w:t>十二、国有资本经营预算财政拨款支出决算表</w:t>
      </w:r>
    </w:p>
    <w:p w14:paraId="6CEFF1A7">
      <w:pPr>
        <w:tabs>
          <w:tab w:val="right" w:leader="dot" w:pos="8296"/>
        </w:tabs>
        <w:spacing w:line="440" w:lineRule="exact"/>
        <w:ind w:left="420"/>
        <w:rPr>
          <w:rFonts w:hint="default" w:cs="宋体"/>
          <w:kern w:val="2"/>
          <w:lang w:val="zh-CN"/>
        </w:rPr>
      </w:pPr>
      <w:r>
        <w:rPr>
          <w:rFonts w:ascii="宋体" w:hAnsi="宋体" w:cs="宋体"/>
          <w:kern w:val="2"/>
          <w:lang w:val="zh-CN"/>
        </w:rPr>
        <w:t>十三、财政拨款“三公”经费支出决算表</w:t>
      </w:r>
    </w:p>
    <w:p w14:paraId="2C5E524C">
      <w:pPr>
        <w:spacing w:line="440" w:lineRule="exact"/>
        <w:rPr>
          <w:rFonts w:hint="default" w:ascii="仿宋" w:hAnsi="仿宋" w:eastAsia="仿宋"/>
          <w:kern w:val="44"/>
          <w:lang w:val="zh-CN"/>
        </w:rPr>
      </w:pPr>
      <w:r>
        <w:rPr>
          <w:rFonts w:hint="default" w:ascii="仿宋" w:hAnsi="仿宋" w:eastAsia="仿宋"/>
          <w:b/>
          <w:kern w:val="2"/>
          <w:lang w:val="zh-CN"/>
        </w:rPr>
        <w:br w:type="page"/>
      </w:r>
    </w:p>
    <w:p w14:paraId="1B30EC05">
      <w:pPr>
        <w:pStyle w:val="3"/>
        <w:keepNext/>
        <w:keepLines/>
        <w:jc w:val="center"/>
        <w:rPr>
          <w:rFonts w:hint="default" w:ascii="黑体" w:hAnsi="黑体" w:eastAsia="黑体"/>
          <w:b/>
          <w:kern w:val="44"/>
          <w:sz w:val="44"/>
          <w:lang w:val="zh-CN"/>
        </w:rPr>
      </w:pPr>
      <w:r>
        <w:rPr>
          <w:rFonts w:ascii="黑体" w:hAnsi="黑体" w:eastAsia="黑体"/>
          <w:kern w:val="44"/>
          <w:sz w:val="44"/>
          <w:lang w:val="zh-CN"/>
        </w:rPr>
        <w:t>第一部分 单位概况</w:t>
      </w:r>
    </w:p>
    <w:p w14:paraId="624EF1B2">
      <w:pPr>
        <w:snapToGrid w:val="0"/>
        <w:spacing w:line="520" w:lineRule="exact"/>
        <w:rPr>
          <w:rFonts w:hint="default" w:ascii="黑体" w:hAnsi="黑体" w:eastAsia="黑体"/>
          <w:color w:val="000000"/>
          <w:kern w:val="2"/>
          <w:sz w:val="32"/>
          <w:lang w:val="zh-CN"/>
        </w:rPr>
      </w:pPr>
    </w:p>
    <w:p w14:paraId="0B80857C">
      <w:pPr>
        <w:snapToGrid w:val="0"/>
        <w:spacing w:line="520" w:lineRule="exact"/>
        <w:rPr>
          <w:rFonts w:hint="default" w:ascii="黑体" w:hAnsi="黑体" w:eastAsia="黑体"/>
          <w:kern w:val="2"/>
          <w:sz w:val="32"/>
          <w:lang w:val="zh-CN"/>
        </w:rPr>
      </w:pPr>
      <w:r>
        <w:rPr>
          <w:rFonts w:ascii="黑体" w:hAnsi="黑体" w:eastAsia="黑体"/>
          <w:color w:val="000000"/>
          <w:kern w:val="2"/>
          <w:sz w:val="32"/>
          <w:lang w:val="zh-CN"/>
        </w:rPr>
        <w:t>一、主要</w:t>
      </w:r>
      <w:r>
        <w:rPr>
          <w:rFonts w:ascii="黑体" w:hAnsi="黑体" w:eastAsia="黑体"/>
          <w:kern w:val="2"/>
          <w:sz w:val="32"/>
          <w:lang w:val="zh-CN"/>
        </w:rPr>
        <w:t>职责</w:t>
      </w:r>
      <w:bookmarkStart w:id="0" w:name="_Toc15377198"/>
      <w:bookmarkStart w:id="1" w:name="_Toc15378445"/>
    </w:p>
    <w:p w14:paraId="27A546B3">
      <w:pPr>
        <w:snapToGrid w:val="0"/>
        <w:spacing w:line="520" w:lineRule="exact"/>
        <w:rPr>
          <w:rFonts w:hint="default" w:ascii="仿宋" w:hAnsi="仿宋" w:eastAsia="仿宋"/>
          <w:sz w:val="32"/>
        </w:rPr>
      </w:pPr>
      <w:r>
        <w:rPr>
          <w:rFonts w:ascii="仿宋" w:hAnsi="仿宋" w:eastAsia="仿宋"/>
          <w:sz w:val="32"/>
        </w:rPr>
        <w:t>（一）主要职能。</w:t>
      </w:r>
      <w:bookmarkEnd w:id="0"/>
      <w:bookmarkEnd w:id="1"/>
    </w:p>
    <w:p w14:paraId="05C75413">
      <w:pPr>
        <w:pStyle w:val="5"/>
        <w:snapToGrid w:val="0"/>
        <w:spacing w:before="72" w:line="600" w:lineRule="exact"/>
        <w:ind w:firstLine="320" w:firstLineChars="100"/>
        <w:outlineLvl w:val="2"/>
        <w:rPr>
          <w:rFonts w:hint="eastAsia" w:hAnsi="仿宋" w:eastAsia="仿宋_GB2312"/>
          <w:sz w:val="32"/>
          <w:lang w:eastAsia="zh-CN"/>
        </w:rPr>
      </w:pPr>
      <w:bookmarkStart w:id="2" w:name="_Toc15378446"/>
      <w:bookmarkStart w:id="3" w:name="_Toc15377199"/>
      <w:r>
        <w:rPr>
          <w:rFonts w:hAnsi="仿宋"/>
          <w:sz w:val="32"/>
        </w:rPr>
        <w:t>1、实施初中义务教育，促进基础教育发展</w:t>
      </w:r>
      <w:r>
        <w:rPr>
          <w:rFonts w:hint="eastAsia" w:hAnsi="仿宋"/>
          <w:sz w:val="32"/>
          <w:lang w:eastAsia="zh-CN"/>
        </w:rPr>
        <w:t>。</w:t>
      </w:r>
    </w:p>
    <w:p w14:paraId="3F4DD398">
      <w:pPr>
        <w:pStyle w:val="5"/>
        <w:snapToGrid w:val="0"/>
        <w:spacing w:before="72" w:line="600" w:lineRule="exact"/>
        <w:ind w:firstLine="320" w:firstLineChars="100"/>
        <w:outlineLvl w:val="2"/>
        <w:rPr>
          <w:rFonts w:hint="default" w:hAnsi="仿宋"/>
          <w:sz w:val="32"/>
        </w:rPr>
      </w:pPr>
      <w:r>
        <w:rPr>
          <w:rFonts w:hAnsi="仿宋"/>
          <w:sz w:val="32"/>
        </w:rPr>
        <w:t>2、初中阶段相关社会服务。</w:t>
      </w:r>
    </w:p>
    <w:p w14:paraId="34E5FEF8">
      <w:pPr>
        <w:pStyle w:val="5"/>
        <w:snapToGrid w:val="0"/>
        <w:spacing w:before="72" w:line="600" w:lineRule="exact"/>
        <w:outlineLvl w:val="2"/>
        <w:rPr>
          <w:rFonts w:hint="default" w:ascii="仿宋" w:hAnsi="仿宋" w:eastAsia="仿宋"/>
          <w:sz w:val="32"/>
        </w:rPr>
      </w:pPr>
      <w:r>
        <w:rPr>
          <w:rFonts w:ascii="仿宋" w:hAnsi="仿宋" w:eastAsia="仿宋"/>
          <w:sz w:val="32"/>
        </w:rPr>
        <w:t>（二）2023年重点工作完成情况。</w:t>
      </w:r>
      <w:bookmarkEnd w:id="2"/>
      <w:bookmarkEnd w:id="3"/>
    </w:p>
    <w:p w14:paraId="4933D9F9">
      <w:pPr>
        <w:pStyle w:val="5"/>
        <w:snapToGrid w:val="0"/>
        <w:spacing w:before="72" w:line="600" w:lineRule="exact"/>
        <w:ind w:left="959" w:leftChars="133" w:hanging="640" w:hangingChars="200"/>
        <w:outlineLvl w:val="2"/>
        <w:rPr>
          <w:rFonts w:hint="default" w:ascii="仿宋" w:hAnsi="仿宋" w:eastAsia="仿宋"/>
          <w:sz w:val="32"/>
        </w:rPr>
      </w:pPr>
      <w:r>
        <w:rPr>
          <w:rFonts w:ascii="仿宋" w:hAnsi="仿宋" w:eastAsia="仿宋"/>
          <w:sz w:val="32"/>
        </w:rPr>
        <w:t>1、实施开展好辖区内适龄青少年的义务教育，推动学校</w:t>
      </w:r>
    </w:p>
    <w:p w14:paraId="4EF1A66C">
      <w:pPr>
        <w:pStyle w:val="5"/>
        <w:snapToGrid w:val="0"/>
        <w:spacing w:before="72" w:line="600" w:lineRule="exact"/>
        <w:ind w:left="960" w:hanging="960" w:hangingChars="300"/>
        <w:outlineLvl w:val="2"/>
        <w:rPr>
          <w:rFonts w:hint="default" w:ascii="仿宋" w:hAnsi="仿宋" w:eastAsia="仿宋"/>
          <w:sz w:val="32"/>
        </w:rPr>
      </w:pPr>
      <w:r>
        <w:rPr>
          <w:rFonts w:ascii="仿宋" w:hAnsi="仿宋" w:eastAsia="仿宋"/>
          <w:sz w:val="32"/>
        </w:rPr>
        <w:t>教育教学工作顺利进行，完成年度教育教学任务。</w:t>
      </w:r>
    </w:p>
    <w:p w14:paraId="3AD96DBC">
      <w:pPr>
        <w:pStyle w:val="5"/>
        <w:snapToGrid w:val="0"/>
        <w:spacing w:before="72" w:line="600" w:lineRule="exact"/>
        <w:ind w:firstLine="320" w:firstLineChars="100"/>
        <w:outlineLvl w:val="2"/>
        <w:rPr>
          <w:rFonts w:hint="default" w:ascii="仿宋" w:hAnsi="仿宋" w:eastAsia="仿宋"/>
          <w:sz w:val="32"/>
        </w:rPr>
      </w:pPr>
      <w:r>
        <w:rPr>
          <w:rFonts w:ascii="仿宋" w:hAnsi="仿宋" w:eastAsia="仿宋"/>
          <w:sz w:val="32"/>
        </w:rPr>
        <w:t>2、加强学校校园文化建设和基础设施建设、教师队伍建设，提升教育教学质量。</w:t>
      </w:r>
    </w:p>
    <w:p w14:paraId="6BDB925B">
      <w:pPr>
        <w:pStyle w:val="5"/>
        <w:snapToGrid w:val="0"/>
        <w:spacing w:before="72" w:line="600" w:lineRule="exact"/>
        <w:ind w:left="639" w:leftChars="133" w:hanging="320" w:hangingChars="100"/>
        <w:outlineLvl w:val="2"/>
        <w:rPr>
          <w:rFonts w:hint="default" w:ascii="仿宋" w:hAnsi="仿宋" w:eastAsia="仿宋"/>
          <w:sz w:val="32"/>
        </w:rPr>
      </w:pPr>
      <w:r>
        <w:rPr>
          <w:rFonts w:ascii="仿宋" w:hAnsi="仿宋" w:eastAsia="仿宋"/>
          <w:sz w:val="32"/>
        </w:rPr>
        <w:t>3、切实履行学校教育教学职责，促进学生身心健康发展。</w:t>
      </w:r>
    </w:p>
    <w:p w14:paraId="1FA8A00B">
      <w:pPr>
        <w:pStyle w:val="5"/>
        <w:snapToGrid w:val="0"/>
        <w:spacing w:before="72" w:line="600" w:lineRule="exact"/>
        <w:ind w:left="639" w:leftChars="133" w:hanging="320" w:hangingChars="100"/>
        <w:outlineLvl w:val="2"/>
        <w:rPr>
          <w:rFonts w:hint="default" w:ascii="仿宋" w:hAnsi="仿宋" w:eastAsia="仿宋"/>
          <w:sz w:val="32"/>
        </w:rPr>
      </w:pPr>
      <w:r>
        <w:rPr>
          <w:rFonts w:ascii="仿宋" w:hAnsi="仿宋" w:eastAsia="仿宋"/>
          <w:sz w:val="32"/>
        </w:rPr>
        <w:t>4、继续巩固乡村振兴成果、资助建档立卡贫困学生。</w:t>
      </w:r>
    </w:p>
    <w:p w14:paraId="76236CBA">
      <w:pPr>
        <w:pStyle w:val="5"/>
        <w:numPr>
          <w:ilvl w:val="0"/>
          <w:numId w:val="1"/>
        </w:numPr>
        <w:snapToGrid w:val="0"/>
        <w:spacing w:before="72" w:line="600" w:lineRule="exact"/>
        <w:ind w:firstLine="320" w:firstLineChars="100"/>
        <w:outlineLvl w:val="2"/>
        <w:rPr>
          <w:rFonts w:hint="default" w:ascii="Cambria" w:cs="Cambria"/>
          <w:kern w:val="2"/>
          <w:sz w:val="32"/>
          <w:lang w:val="zh-CN"/>
        </w:rPr>
      </w:pPr>
      <w:r>
        <w:rPr>
          <w:rFonts w:ascii="仿宋" w:hAnsi="仿宋" w:eastAsia="仿宋"/>
          <w:sz w:val="32"/>
        </w:rPr>
        <w:t>完成上级安排的各项工作。</w:t>
      </w:r>
    </w:p>
    <w:p w14:paraId="7DAB1528">
      <w:pPr>
        <w:pStyle w:val="5"/>
        <w:numPr>
          <w:ilvl w:val="0"/>
          <w:numId w:val="2"/>
        </w:numPr>
        <w:snapToGrid w:val="0"/>
        <w:spacing w:before="72" w:line="600" w:lineRule="exact"/>
        <w:outlineLvl w:val="2"/>
        <w:rPr>
          <w:rFonts w:hint="default" w:ascii="黑体" w:hAnsi="黑体" w:eastAsia="黑体"/>
          <w:kern w:val="2"/>
          <w:sz w:val="32"/>
          <w:lang w:val="zh-CN"/>
        </w:rPr>
      </w:pPr>
      <w:r>
        <w:rPr>
          <w:rFonts w:ascii="黑体" w:hAnsi="黑体" w:eastAsia="黑体"/>
          <w:color w:val="000000"/>
          <w:kern w:val="2"/>
          <w:sz w:val="32"/>
          <w:lang w:val="zh-CN"/>
        </w:rPr>
        <w:t>机</w:t>
      </w:r>
      <w:r>
        <w:rPr>
          <w:rFonts w:ascii="黑体" w:hAnsi="黑体" w:eastAsia="黑体"/>
          <w:kern w:val="2"/>
          <w:sz w:val="32"/>
          <w:lang w:val="zh-CN"/>
        </w:rPr>
        <w:t>构设置</w:t>
      </w:r>
    </w:p>
    <w:p w14:paraId="230888D5">
      <w:pPr>
        <w:pStyle w:val="5"/>
        <w:snapToGrid w:val="0"/>
        <w:spacing w:before="72" w:line="600" w:lineRule="exact"/>
        <w:ind w:firstLine="640" w:firstLineChars="200"/>
        <w:outlineLvl w:val="2"/>
        <w:rPr>
          <w:rFonts w:hint="default" w:ascii="Cambria" w:cs="Cambria"/>
          <w:kern w:val="2"/>
          <w:sz w:val="32"/>
          <w:lang w:val="zh-CN"/>
        </w:rPr>
      </w:pPr>
      <w:r>
        <w:rPr>
          <w:rFonts w:ascii="仿宋" w:hAnsi="仿宋" w:eastAsia="仿宋"/>
          <w:sz w:val="32"/>
        </w:rPr>
        <w:t>射洪市仁和镇初级中学校下属二级单位</w:t>
      </w:r>
      <w:r>
        <w:rPr>
          <w:rFonts w:hint="default" w:ascii="仿宋" w:hAnsi="仿宋" w:eastAsia="仿宋"/>
          <w:sz w:val="32"/>
        </w:rPr>
        <w:t>0</w:t>
      </w:r>
      <w:r>
        <w:rPr>
          <w:rFonts w:ascii="仿宋" w:hAnsi="仿宋" w:eastAsia="仿宋"/>
          <w:sz w:val="32"/>
        </w:rPr>
        <w:t>个，其中行政单位</w:t>
      </w:r>
      <w:r>
        <w:rPr>
          <w:rFonts w:hint="default" w:ascii="仿宋" w:hAnsi="仿宋" w:eastAsia="仿宋"/>
          <w:sz w:val="32"/>
        </w:rPr>
        <w:t>0</w:t>
      </w:r>
      <w:r>
        <w:rPr>
          <w:rFonts w:ascii="仿宋" w:hAnsi="仿宋" w:eastAsia="仿宋"/>
          <w:sz w:val="32"/>
        </w:rPr>
        <w:t>个，参照公务员法管理的事业单位</w:t>
      </w:r>
      <w:r>
        <w:rPr>
          <w:rFonts w:hint="default" w:ascii="仿宋" w:hAnsi="仿宋" w:eastAsia="仿宋"/>
          <w:sz w:val="32"/>
        </w:rPr>
        <w:t>0</w:t>
      </w:r>
      <w:r>
        <w:rPr>
          <w:rFonts w:ascii="仿宋" w:hAnsi="仿宋" w:eastAsia="仿宋"/>
          <w:sz w:val="32"/>
        </w:rPr>
        <w:t>个，其他事业单位</w:t>
      </w:r>
      <w:r>
        <w:rPr>
          <w:rFonts w:hint="default" w:ascii="仿宋" w:hAnsi="仿宋" w:eastAsia="仿宋"/>
          <w:sz w:val="32"/>
        </w:rPr>
        <w:t>0</w:t>
      </w:r>
      <w:r>
        <w:rPr>
          <w:rFonts w:ascii="仿宋" w:hAnsi="仿宋" w:eastAsia="仿宋"/>
          <w:sz w:val="32"/>
        </w:rPr>
        <w:t>个。</w:t>
      </w:r>
    </w:p>
    <w:p w14:paraId="422E3B8A">
      <w:pPr>
        <w:pStyle w:val="3"/>
        <w:keepNext/>
        <w:keepLines/>
        <w:spacing w:before="340" w:after="330" w:line="576" w:lineRule="exact"/>
        <w:ind w:right="442" w:firstLine="880"/>
        <w:jc w:val="center"/>
        <w:rPr>
          <w:rFonts w:hint="default" w:eastAsia="Times New Roman"/>
          <w:b/>
          <w:kern w:val="44"/>
          <w:sz w:val="44"/>
          <w:lang w:val="zh-CN"/>
        </w:rPr>
      </w:pPr>
      <w:r>
        <w:rPr>
          <w:rFonts w:ascii="黑体" w:hAnsi="黑体" w:eastAsia="黑体"/>
          <w:color w:val="000000"/>
          <w:kern w:val="44"/>
          <w:sz w:val="44"/>
          <w:lang w:val="zh-CN"/>
        </w:rPr>
        <w:t>第二部分</w:t>
      </w:r>
      <w:r>
        <w:rPr>
          <w:rFonts w:ascii="黑体" w:hAnsi="黑体" w:eastAsia="黑体"/>
          <w:b/>
          <w:color w:val="000000"/>
          <w:kern w:val="44"/>
          <w:sz w:val="44"/>
          <w:lang w:val="zh-CN"/>
        </w:rPr>
        <w:t xml:space="preserve"> </w:t>
      </w:r>
      <w:r>
        <w:rPr>
          <w:rFonts w:ascii="黑体" w:hAnsi="黑体" w:eastAsia="黑体"/>
          <w:kern w:val="44"/>
          <w:sz w:val="44"/>
          <w:lang w:val="zh-CN"/>
        </w:rPr>
        <w:t>202</w:t>
      </w:r>
      <w:r>
        <w:rPr>
          <w:rFonts w:ascii="黑体" w:hAnsi="黑体" w:eastAsia="黑体"/>
          <w:kern w:val="44"/>
          <w:sz w:val="44"/>
        </w:rPr>
        <w:t>3</w:t>
      </w:r>
      <w:r>
        <w:rPr>
          <w:rFonts w:ascii="黑体" w:hAnsi="黑体" w:eastAsia="黑体"/>
          <w:kern w:val="44"/>
          <w:sz w:val="44"/>
          <w:lang w:val="zh-CN"/>
        </w:rPr>
        <w:t>年度单位决算情况说明</w:t>
      </w:r>
    </w:p>
    <w:p w14:paraId="029D50D4">
      <w:pPr>
        <w:keepNext/>
        <w:keepLines/>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黑体" w:hAnsi="黑体" w:eastAsia="黑体"/>
          <w:kern w:val="2"/>
          <w:sz w:val="32"/>
          <w:lang w:val="zh-CN"/>
        </w:rPr>
      </w:pPr>
      <w:r>
        <w:rPr>
          <w:rFonts w:ascii="黑体" w:hAnsi="黑体" w:eastAsia="黑体"/>
          <w:color w:val="000000"/>
          <w:kern w:val="2"/>
          <w:sz w:val="32"/>
          <w:lang w:val="zh-CN"/>
        </w:rPr>
        <w:t>一、收</w:t>
      </w:r>
      <w:r>
        <w:rPr>
          <w:rFonts w:ascii="黑体" w:hAnsi="黑体" w:eastAsia="黑体"/>
          <w:kern w:val="2"/>
          <w:sz w:val="32"/>
          <w:lang w:val="zh-CN"/>
        </w:rPr>
        <w:t>入支出决算总体情况说明</w:t>
      </w:r>
    </w:p>
    <w:p w14:paraId="0AC5C089">
      <w:pPr>
        <w:keepNext/>
        <w:keepLines/>
        <w:spacing w:line="576" w:lineRule="exact"/>
        <w:ind w:firstLine="640"/>
        <w:jc w:val="both"/>
        <w:rPr>
          <w:rFonts w:hint="default" w:ascii="仿宋" w:hAnsi="仿宋" w:eastAsia="仿宋"/>
          <w:sz w:val="32"/>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年度收、支总计</w:t>
      </w:r>
      <w:r>
        <w:rPr>
          <w:rFonts w:ascii="仿宋_GB2312" w:hAnsi="仿宋_GB2312" w:eastAsia="仿宋_GB2312"/>
          <w:color w:val="000000"/>
          <w:kern w:val="2"/>
          <w:sz w:val="32"/>
        </w:rPr>
        <w:t>860.48</w:t>
      </w:r>
      <w:r>
        <w:rPr>
          <w:rFonts w:ascii="仿宋_GB2312" w:hAnsi="仿宋_GB2312" w:eastAsia="仿宋_GB2312"/>
          <w:color w:val="000000"/>
          <w:kern w:val="2"/>
          <w:sz w:val="32"/>
          <w:lang w:val="zh-CN"/>
        </w:rPr>
        <w:t>万元。与202</w:t>
      </w:r>
      <w:r>
        <w:rPr>
          <w:rFonts w:ascii="仿宋_GB2312" w:hAnsi="仿宋_GB2312" w:eastAsia="仿宋_GB2312"/>
          <w:color w:val="000000"/>
          <w:kern w:val="2"/>
          <w:sz w:val="32"/>
        </w:rPr>
        <w:t>2</w:t>
      </w:r>
      <w:r>
        <w:rPr>
          <w:rFonts w:ascii="仿宋_GB2312" w:hAnsi="仿宋_GB2312" w:eastAsia="仿宋_GB2312"/>
          <w:color w:val="000000"/>
          <w:kern w:val="2"/>
          <w:sz w:val="32"/>
          <w:lang w:val="zh-CN"/>
        </w:rPr>
        <w:t>年相比，收、支总计各增加</w:t>
      </w:r>
      <w:r>
        <w:rPr>
          <w:rFonts w:ascii="仿宋_GB2312" w:hAnsi="仿宋_GB2312" w:eastAsia="仿宋_GB2312"/>
          <w:color w:val="000000"/>
          <w:kern w:val="2"/>
          <w:sz w:val="32"/>
        </w:rPr>
        <w:t>90.16</w:t>
      </w:r>
      <w:r>
        <w:rPr>
          <w:rFonts w:ascii="仿宋_GB2312" w:hAnsi="仿宋_GB2312" w:eastAsia="仿宋_GB2312"/>
          <w:color w:val="000000"/>
          <w:kern w:val="2"/>
          <w:sz w:val="32"/>
          <w:lang w:val="zh-CN"/>
        </w:rPr>
        <w:t>万元，增长</w:t>
      </w:r>
      <w:r>
        <w:rPr>
          <w:rFonts w:ascii="仿宋_GB2312" w:hAnsi="仿宋_GB2312" w:eastAsia="仿宋_GB2312"/>
          <w:color w:val="000000"/>
          <w:kern w:val="2"/>
          <w:sz w:val="32"/>
        </w:rPr>
        <w:t>11.7</w:t>
      </w:r>
      <w:r>
        <w:rPr>
          <w:rFonts w:hint="default" w:ascii="仿宋_GB2312" w:hAnsi="仿宋_GB2312" w:eastAsia="仿宋_GB2312"/>
          <w:color w:val="000000"/>
          <w:kern w:val="2"/>
          <w:sz w:val="32"/>
        </w:rPr>
        <w:t>0</w:t>
      </w:r>
      <w:r>
        <w:rPr>
          <w:rFonts w:ascii="仿宋_GB2312" w:hAnsi="仿宋_GB2312" w:eastAsia="仿宋_GB2312"/>
          <w:color w:val="000000"/>
          <w:kern w:val="2"/>
          <w:sz w:val="32"/>
          <w:lang w:val="zh-CN"/>
        </w:rPr>
        <w:t>%。主要变动原因是</w:t>
      </w:r>
      <w:r>
        <w:rPr>
          <w:rFonts w:ascii="仿宋" w:hAnsi="仿宋" w:eastAsia="仿宋"/>
          <w:sz w:val="32"/>
        </w:rPr>
        <w:t>2023年度人员经费增长中的教师社保缴费增加。</w:t>
      </w:r>
    </w:p>
    <w:p w14:paraId="2050E800">
      <w:pPr>
        <w:jc w:val="both"/>
        <w:rPr>
          <w:rFonts w:hint="default" w:ascii="黑体" w:hAnsi="黑体" w:eastAsia="黑体"/>
          <w:color w:val="000000"/>
          <w:kern w:val="2"/>
          <w:sz w:val="32"/>
          <w:lang w:val="zh-CN"/>
        </w:rPr>
      </w:pPr>
      <w:r>
        <w:drawing>
          <wp:inline distT="0" distB="0" distL="114300" distR="114300">
            <wp:extent cx="5476875" cy="2752725"/>
            <wp:effectExtent l="4445" t="4445" r="5080" b="5080"/>
            <wp:docPr id="105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90EAFC2">
      <w:pPr>
        <w:jc w:val="both"/>
        <w:rPr>
          <w:rFonts w:hint="default" w:ascii="黑体" w:hAnsi="黑体" w:eastAsia="黑体"/>
          <w:color w:val="000000"/>
          <w:kern w:val="2"/>
          <w:sz w:val="32"/>
          <w:lang w:val="zh-CN"/>
        </w:rPr>
      </w:pPr>
    </w:p>
    <w:p w14:paraId="5AF60CD4">
      <w:pPr>
        <w:ind w:firstLine="640" w:firstLineChars="200"/>
        <w:jc w:val="both"/>
        <w:rPr>
          <w:rFonts w:hint="default" w:ascii="黑体" w:hAnsi="黑体" w:eastAsia="黑体"/>
          <w:kern w:val="2"/>
          <w:sz w:val="32"/>
          <w:lang w:val="zh-CN"/>
        </w:rPr>
      </w:pPr>
      <w:r>
        <w:rPr>
          <w:rFonts w:ascii="黑体" w:hAnsi="黑体" w:eastAsia="黑体"/>
          <w:color w:val="000000"/>
          <w:kern w:val="2"/>
          <w:sz w:val="32"/>
          <w:lang w:val="zh-CN"/>
        </w:rPr>
        <w:t>二、收</w:t>
      </w:r>
      <w:r>
        <w:rPr>
          <w:rFonts w:ascii="黑体" w:hAnsi="黑体" w:eastAsia="黑体"/>
          <w:kern w:val="2"/>
          <w:sz w:val="32"/>
          <w:lang w:val="zh-CN"/>
        </w:rPr>
        <w:t>入决算情况说明</w:t>
      </w:r>
    </w:p>
    <w:p w14:paraId="66EBC054">
      <w:pPr>
        <w:ind w:firstLine="960" w:firstLineChars="30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本年收入合计</w:t>
      </w:r>
      <w:r>
        <w:rPr>
          <w:rFonts w:ascii="仿宋_GB2312" w:hAnsi="仿宋_GB2312" w:eastAsia="仿宋_GB2312"/>
          <w:color w:val="000000"/>
          <w:kern w:val="2"/>
          <w:sz w:val="32"/>
        </w:rPr>
        <w:t>860.48</w:t>
      </w:r>
      <w:r>
        <w:rPr>
          <w:rFonts w:ascii="仿宋_GB2312" w:hAnsi="仿宋_GB2312" w:eastAsia="仿宋_GB2312"/>
          <w:color w:val="000000"/>
          <w:kern w:val="2"/>
          <w:sz w:val="32"/>
          <w:lang w:val="zh-CN"/>
        </w:rPr>
        <w:t>万元，其中：一般公共预算财政拨款收入</w:t>
      </w:r>
      <w:r>
        <w:rPr>
          <w:rFonts w:ascii="仿宋_GB2312" w:hAnsi="仿宋_GB2312" w:eastAsia="仿宋_GB2312"/>
          <w:color w:val="000000"/>
          <w:kern w:val="2"/>
          <w:sz w:val="32"/>
        </w:rPr>
        <w:t>860.48</w:t>
      </w:r>
      <w:r>
        <w:rPr>
          <w:rFonts w:ascii="仿宋_GB2312" w:hAnsi="仿宋_GB2312" w:eastAsia="仿宋_GB2312"/>
          <w:color w:val="000000"/>
          <w:kern w:val="2"/>
          <w:sz w:val="32"/>
          <w:lang w:val="zh-CN"/>
        </w:rPr>
        <w:t>万元，占100%。</w:t>
      </w:r>
    </w:p>
    <w:p w14:paraId="12D6454A">
      <w:pPr>
        <w:ind w:firstLine="720" w:firstLineChars="300"/>
        <w:jc w:val="both"/>
        <w:rPr>
          <w:rFonts w:hint="default" w:ascii="仿宋_GB2312" w:hAnsi="仿宋_GB2312" w:eastAsia="仿宋_GB2312"/>
          <w:color w:val="000000"/>
          <w:kern w:val="2"/>
          <w:sz w:val="32"/>
          <w:lang w:val="zh-CN"/>
        </w:rPr>
      </w:pPr>
      <w:r>
        <w:drawing>
          <wp:inline distT="0" distB="0" distL="114300" distR="114300">
            <wp:extent cx="4543425" cy="2182495"/>
            <wp:effectExtent l="4445" t="4445" r="5080" b="22860"/>
            <wp:docPr id="208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9CC499">
      <w:pPr>
        <w:spacing w:line="600" w:lineRule="exact"/>
        <w:ind w:firstLine="643"/>
        <w:jc w:val="both"/>
        <w:rPr>
          <w:rFonts w:hint="default" w:ascii="黑体" w:hAnsi="黑体" w:eastAsia="黑体"/>
          <w:kern w:val="2"/>
          <w:sz w:val="32"/>
          <w:lang w:val="zh-CN"/>
        </w:rPr>
      </w:pPr>
      <w:r>
        <w:rPr>
          <w:rFonts w:ascii="黑体" w:hAnsi="黑体" w:eastAsia="黑体"/>
          <w:color w:val="000000"/>
          <w:kern w:val="2"/>
          <w:sz w:val="32"/>
          <w:lang w:val="zh-CN"/>
        </w:rPr>
        <w:t>三、支</w:t>
      </w:r>
      <w:r>
        <w:rPr>
          <w:rFonts w:ascii="黑体" w:hAnsi="黑体" w:eastAsia="黑体"/>
          <w:kern w:val="2"/>
          <w:sz w:val="32"/>
          <w:lang w:val="zh-CN"/>
        </w:rPr>
        <w:t>出决算情况说明</w:t>
      </w:r>
    </w:p>
    <w:p w14:paraId="48B78E5C">
      <w:pPr>
        <w:keepNext/>
        <w:keepLines/>
        <w:spacing w:line="576" w:lineRule="exact"/>
        <w:ind w:firstLine="64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本年支出合计</w:t>
      </w:r>
      <w:r>
        <w:rPr>
          <w:rFonts w:ascii="仿宋_GB2312" w:hAnsi="仿宋_GB2312" w:eastAsia="仿宋_GB2312"/>
          <w:color w:val="000000"/>
          <w:kern w:val="2"/>
          <w:sz w:val="32"/>
        </w:rPr>
        <w:t>860.48</w:t>
      </w:r>
      <w:r>
        <w:rPr>
          <w:rFonts w:ascii="仿宋_GB2312" w:hAnsi="仿宋_GB2312" w:eastAsia="仿宋_GB2312"/>
          <w:color w:val="000000"/>
          <w:kern w:val="2"/>
          <w:sz w:val="32"/>
          <w:lang w:val="zh-CN"/>
        </w:rPr>
        <w:t>万元，其中：基本支出</w:t>
      </w:r>
      <w:r>
        <w:rPr>
          <w:rFonts w:ascii="仿宋_GB2312" w:hAnsi="仿宋_GB2312" w:eastAsia="仿宋_GB2312"/>
          <w:color w:val="000000"/>
          <w:kern w:val="2"/>
          <w:sz w:val="32"/>
        </w:rPr>
        <w:t>845.87</w:t>
      </w:r>
      <w:r>
        <w:rPr>
          <w:rFonts w:ascii="仿宋_GB2312" w:hAnsi="仿宋_GB2312" w:eastAsia="仿宋_GB2312"/>
          <w:color w:val="000000"/>
          <w:kern w:val="2"/>
          <w:sz w:val="32"/>
          <w:lang w:val="zh-CN"/>
        </w:rPr>
        <w:t>万元，占</w:t>
      </w:r>
      <w:r>
        <w:rPr>
          <w:rFonts w:ascii="仿宋_GB2312" w:hAnsi="仿宋_GB2312" w:eastAsia="仿宋_GB2312"/>
          <w:color w:val="000000"/>
          <w:kern w:val="2"/>
          <w:sz w:val="32"/>
        </w:rPr>
        <w:t>98.30</w:t>
      </w:r>
      <w:r>
        <w:rPr>
          <w:rFonts w:ascii="仿宋_GB2312" w:hAnsi="仿宋_GB2312" w:eastAsia="仿宋_GB2312"/>
          <w:color w:val="000000"/>
          <w:kern w:val="2"/>
          <w:sz w:val="32"/>
          <w:lang w:val="zh-CN"/>
        </w:rPr>
        <w:t>%；项目支出</w:t>
      </w:r>
      <w:r>
        <w:rPr>
          <w:rFonts w:ascii="仿宋_GB2312" w:hAnsi="仿宋_GB2312" w:eastAsia="仿宋_GB2312"/>
          <w:color w:val="000000"/>
          <w:kern w:val="2"/>
          <w:sz w:val="32"/>
        </w:rPr>
        <w:t>14.61</w:t>
      </w:r>
      <w:r>
        <w:rPr>
          <w:rFonts w:ascii="仿宋_GB2312" w:hAnsi="仿宋_GB2312" w:eastAsia="仿宋_GB2312"/>
          <w:color w:val="000000"/>
          <w:kern w:val="2"/>
          <w:sz w:val="32"/>
          <w:lang w:val="zh-CN"/>
        </w:rPr>
        <w:t>万元，占</w:t>
      </w:r>
      <w:r>
        <w:rPr>
          <w:rFonts w:ascii="仿宋_GB2312" w:hAnsi="仿宋_GB2312" w:eastAsia="仿宋_GB2312"/>
          <w:color w:val="000000"/>
          <w:kern w:val="2"/>
          <w:sz w:val="32"/>
        </w:rPr>
        <w:t>1.70</w:t>
      </w:r>
      <w:r>
        <w:rPr>
          <w:rFonts w:ascii="仿宋_GB2312" w:hAnsi="仿宋_GB2312" w:eastAsia="仿宋_GB2312"/>
          <w:color w:val="000000"/>
          <w:kern w:val="2"/>
          <w:sz w:val="32"/>
          <w:lang w:val="zh-CN"/>
        </w:rPr>
        <w:t>%。</w:t>
      </w:r>
    </w:p>
    <w:p w14:paraId="5F8C37D0">
      <w:pPr>
        <w:keepNext/>
        <w:keepLines/>
        <w:ind w:firstLine="640"/>
        <w:jc w:val="both"/>
        <w:rPr>
          <w:rFonts w:hint="default" w:ascii="仿宋_GB2312" w:hAnsi="仿宋_GB2312" w:eastAsia="仿宋_GB2312"/>
          <w:color w:val="000000"/>
          <w:kern w:val="2"/>
          <w:sz w:val="32"/>
          <w:lang w:val="zh-CN"/>
        </w:rPr>
      </w:pPr>
      <w:r>
        <w:drawing>
          <wp:inline distT="0" distB="0" distL="114300" distR="114300">
            <wp:extent cx="4572000" cy="2743200"/>
            <wp:effectExtent l="4445" t="4445" r="14605" b="14605"/>
            <wp:docPr id="309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E76448">
      <w:pPr>
        <w:keepNext/>
        <w:keepLines/>
        <w:spacing w:line="576" w:lineRule="exact"/>
        <w:ind w:firstLine="640"/>
        <w:jc w:val="both"/>
        <w:rPr>
          <w:rFonts w:hint="default" w:ascii="黑体" w:hAnsi="黑体" w:eastAsia="黑体"/>
          <w:kern w:val="2"/>
          <w:sz w:val="32"/>
          <w:lang w:val="zh-CN"/>
        </w:rPr>
      </w:pPr>
      <w:r>
        <w:rPr>
          <w:rFonts w:ascii="黑体" w:hAnsi="黑体" w:eastAsia="黑体"/>
          <w:color w:val="000000"/>
          <w:kern w:val="2"/>
          <w:sz w:val="32"/>
          <w:lang w:val="zh-CN"/>
        </w:rPr>
        <w:t>四、财</w:t>
      </w:r>
      <w:r>
        <w:rPr>
          <w:rFonts w:ascii="黑体" w:hAnsi="黑体" w:eastAsia="黑体"/>
          <w:kern w:val="2"/>
          <w:sz w:val="32"/>
          <w:lang w:val="zh-CN"/>
        </w:rPr>
        <w:t>政拨款收入支出决算总体情况说明</w:t>
      </w:r>
    </w:p>
    <w:p w14:paraId="21B1B5CA">
      <w:pPr>
        <w:spacing w:line="576" w:lineRule="exact"/>
        <w:ind w:firstLine="64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财政拨款收、支总计</w:t>
      </w:r>
      <w:r>
        <w:rPr>
          <w:rFonts w:ascii="仿宋_GB2312" w:hAnsi="仿宋_GB2312" w:eastAsia="仿宋_GB2312"/>
          <w:color w:val="000000"/>
          <w:kern w:val="2"/>
          <w:sz w:val="32"/>
        </w:rPr>
        <w:t>860.48</w:t>
      </w:r>
      <w:r>
        <w:rPr>
          <w:rFonts w:ascii="仿宋_GB2312" w:hAnsi="仿宋_GB2312" w:eastAsia="仿宋_GB2312"/>
          <w:color w:val="000000"/>
          <w:kern w:val="2"/>
          <w:sz w:val="32"/>
          <w:lang w:val="zh-CN"/>
        </w:rPr>
        <w:t>万元。与202</w:t>
      </w:r>
      <w:r>
        <w:rPr>
          <w:rFonts w:ascii="仿宋_GB2312" w:hAnsi="仿宋_GB2312" w:eastAsia="仿宋_GB2312"/>
          <w:color w:val="000000"/>
          <w:kern w:val="2"/>
          <w:sz w:val="32"/>
        </w:rPr>
        <w:t>2</w:t>
      </w:r>
      <w:r>
        <w:rPr>
          <w:rFonts w:ascii="仿宋_GB2312" w:hAnsi="仿宋_GB2312" w:eastAsia="仿宋_GB2312"/>
          <w:color w:val="000000"/>
          <w:kern w:val="2"/>
          <w:sz w:val="32"/>
          <w:lang w:val="zh-CN"/>
        </w:rPr>
        <w:t>年相比，财政拨款收、支总计各增加</w:t>
      </w:r>
      <w:r>
        <w:rPr>
          <w:rFonts w:ascii="仿宋_GB2312" w:hAnsi="仿宋_GB2312" w:eastAsia="仿宋_GB2312"/>
          <w:color w:val="000000"/>
          <w:kern w:val="2"/>
          <w:sz w:val="32"/>
        </w:rPr>
        <w:t>90.16</w:t>
      </w:r>
      <w:r>
        <w:rPr>
          <w:rFonts w:ascii="仿宋_GB2312" w:hAnsi="仿宋_GB2312" w:eastAsia="仿宋_GB2312"/>
          <w:color w:val="000000"/>
          <w:kern w:val="2"/>
          <w:sz w:val="32"/>
          <w:lang w:val="zh-CN"/>
        </w:rPr>
        <w:t>万元，增长</w:t>
      </w:r>
      <w:r>
        <w:rPr>
          <w:rFonts w:ascii="仿宋_GB2312" w:hAnsi="仿宋_GB2312" w:eastAsia="仿宋_GB2312"/>
          <w:color w:val="000000"/>
          <w:kern w:val="2"/>
          <w:sz w:val="32"/>
        </w:rPr>
        <w:t>11.7</w:t>
      </w:r>
      <w:r>
        <w:rPr>
          <w:rFonts w:hint="default" w:ascii="仿宋_GB2312" w:hAnsi="仿宋_GB2312" w:eastAsia="仿宋_GB2312"/>
          <w:color w:val="000000"/>
          <w:kern w:val="2"/>
          <w:sz w:val="32"/>
        </w:rPr>
        <w:t>0</w:t>
      </w:r>
      <w:r>
        <w:rPr>
          <w:rFonts w:ascii="仿宋_GB2312" w:hAnsi="仿宋_GB2312" w:eastAsia="仿宋_GB2312"/>
          <w:color w:val="000000"/>
          <w:kern w:val="2"/>
          <w:sz w:val="32"/>
          <w:lang w:val="zh-CN"/>
        </w:rPr>
        <w:t>%。主要变动原因是</w:t>
      </w:r>
      <w:r>
        <w:rPr>
          <w:rFonts w:ascii="仿宋_GB2312" w:hAnsi="仿宋_GB2312" w:eastAsia="仿宋_GB2312"/>
          <w:color w:val="000000"/>
          <w:kern w:val="2"/>
          <w:sz w:val="32"/>
        </w:rPr>
        <w:t>人员经费增长中的教师社保缴费增加</w:t>
      </w:r>
      <w:r>
        <w:rPr>
          <w:rFonts w:ascii="仿宋_GB2312" w:hAnsi="仿宋_GB2312" w:eastAsia="仿宋_GB2312"/>
          <w:color w:val="000000"/>
          <w:kern w:val="2"/>
          <w:sz w:val="32"/>
          <w:lang w:val="zh-CN"/>
        </w:rPr>
        <w:t>。</w:t>
      </w:r>
    </w:p>
    <w:p w14:paraId="094D60B6">
      <w:pPr>
        <w:spacing w:line="576" w:lineRule="exact"/>
        <w:ind w:firstLine="640"/>
        <w:jc w:val="both"/>
        <w:rPr>
          <w:rFonts w:hint="default" w:ascii="仿宋_GB2312" w:hAnsi="仿宋_GB2312" w:eastAsia="仿宋_GB2312"/>
          <w:color w:val="000000"/>
          <w:kern w:val="2"/>
          <w:sz w:val="32"/>
          <w:lang w:val="zh-CN"/>
        </w:rPr>
      </w:pPr>
      <w:r>
        <w:drawing>
          <wp:anchor distT="0" distB="0" distL="114300" distR="114300" simplePos="0" relativeHeight="251659264" behindDoc="1" locked="0" layoutInCell="1" allowOverlap="1">
            <wp:simplePos x="0" y="0"/>
            <wp:positionH relativeFrom="column">
              <wp:posOffset>391795</wp:posOffset>
            </wp:positionH>
            <wp:positionV relativeFrom="paragraph">
              <wp:posOffset>40005</wp:posOffset>
            </wp:positionV>
            <wp:extent cx="4638040" cy="2743200"/>
            <wp:effectExtent l="4445" t="4445" r="5715" b="14605"/>
            <wp:wrapNone/>
            <wp:docPr id="41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5576CCC">
      <w:pPr>
        <w:spacing w:line="576" w:lineRule="exact"/>
        <w:ind w:firstLine="640"/>
        <w:jc w:val="both"/>
        <w:rPr>
          <w:rFonts w:hint="default" w:ascii="仿宋_GB2312" w:hAnsi="仿宋_GB2312" w:eastAsia="仿宋_GB2312"/>
          <w:color w:val="000000"/>
          <w:kern w:val="2"/>
          <w:sz w:val="32"/>
          <w:lang w:val="zh-CN"/>
        </w:rPr>
      </w:pPr>
    </w:p>
    <w:p w14:paraId="306FA97C">
      <w:pPr>
        <w:spacing w:line="576" w:lineRule="exact"/>
        <w:ind w:firstLine="640"/>
        <w:jc w:val="both"/>
        <w:rPr>
          <w:rFonts w:hint="default" w:ascii="仿宋_GB2312" w:hAnsi="仿宋_GB2312" w:eastAsia="仿宋_GB2312"/>
          <w:color w:val="000000"/>
          <w:kern w:val="2"/>
          <w:sz w:val="32"/>
          <w:lang w:val="zh-CN"/>
        </w:rPr>
      </w:pPr>
    </w:p>
    <w:p w14:paraId="5BB559C2">
      <w:pPr>
        <w:spacing w:line="576" w:lineRule="exact"/>
        <w:ind w:firstLine="640"/>
        <w:jc w:val="both"/>
        <w:rPr>
          <w:rFonts w:hint="default" w:ascii="仿宋_GB2312" w:hAnsi="仿宋_GB2312" w:eastAsia="仿宋_GB2312"/>
          <w:color w:val="000000"/>
          <w:kern w:val="2"/>
          <w:sz w:val="32"/>
          <w:lang w:val="zh-CN"/>
        </w:rPr>
      </w:pPr>
    </w:p>
    <w:p w14:paraId="043E4F9F">
      <w:pPr>
        <w:spacing w:line="576" w:lineRule="exact"/>
        <w:ind w:firstLine="640"/>
        <w:jc w:val="both"/>
        <w:rPr>
          <w:rFonts w:hint="default" w:ascii="仿宋_GB2312" w:hAnsi="仿宋_GB2312" w:eastAsia="仿宋_GB2312"/>
          <w:color w:val="000000"/>
          <w:kern w:val="2"/>
          <w:sz w:val="32"/>
          <w:lang w:val="zh-CN"/>
        </w:rPr>
      </w:pPr>
    </w:p>
    <w:p w14:paraId="423B83FB">
      <w:pPr>
        <w:spacing w:line="576" w:lineRule="exact"/>
        <w:ind w:firstLine="640"/>
        <w:jc w:val="both"/>
        <w:rPr>
          <w:rFonts w:hint="default" w:ascii="黑体" w:hAnsi="黑体" w:eastAsia="黑体"/>
          <w:color w:val="000000"/>
          <w:kern w:val="2"/>
          <w:sz w:val="32"/>
          <w:lang w:val="zh-CN"/>
        </w:rPr>
      </w:pPr>
    </w:p>
    <w:p w14:paraId="13494177">
      <w:pPr>
        <w:keepNext/>
        <w:keepLines/>
        <w:spacing w:line="576" w:lineRule="exact"/>
        <w:ind w:firstLine="640"/>
        <w:jc w:val="both"/>
        <w:rPr>
          <w:rFonts w:hint="default" w:ascii="黑体" w:hAnsi="黑体" w:eastAsia="黑体"/>
          <w:kern w:val="2"/>
          <w:sz w:val="32"/>
          <w:lang w:val="zh-CN"/>
        </w:rPr>
      </w:pPr>
      <w:r>
        <w:rPr>
          <w:rFonts w:ascii="黑体" w:hAnsi="黑体" w:eastAsia="黑体"/>
          <w:color w:val="000000"/>
          <w:kern w:val="2"/>
          <w:sz w:val="32"/>
          <w:lang w:val="zh-CN"/>
        </w:rPr>
        <w:t>五、</w:t>
      </w:r>
      <w:r>
        <w:rPr>
          <w:rFonts w:ascii="黑体" w:hAnsi="黑体" w:eastAsia="黑体"/>
          <w:b/>
          <w:color w:val="000000"/>
          <w:kern w:val="2"/>
          <w:sz w:val="32"/>
          <w:lang w:val="zh-CN"/>
        </w:rPr>
        <w:t>一</w:t>
      </w:r>
      <w:r>
        <w:rPr>
          <w:rFonts w:ascii="黑体" w:hAnsi="黑体" w:eastAsia="黑体"/>
          <w:kern w:val="2"/>
          <w:sz w:val="32"/>
          <w:lang w:val="zh-CN"/>
        </w:rPr>
        <w:t>般公共预算财政拨款支出决算情况说明</w:t>
      </w:r>
    </w:p>
    <w:p w14:paraId="559973BC">
      <w:pPr>
        <w:keepNext/>
        <w:keepLines/>
        <w:spacing w:line="576" w:lineRule="exact"/>
        <w:ind w:firstLine="643"/>
        <w:jc w:val="both"/>
        <w:rPr>
          <w:rFonts w:hint="default" w:ascii="仿宋_GB2312" w:hAnsi="仿宋_GB2312" w:eastAsia="仿宋_GB2312"/>
          <w:b/>
          <w:color w:val="000000"/>
          <w:kern w:val="2"/>
          <w:sz w:val="32"/>
          <w:lang w:val="zh-CN"/>
        </w:rPr>
      </w:pPr>
      <w:r>
        <w:rPr>
          <w:rFonts w:ascii="仿宋_GB2312" w:hAnsi="仿宋_GB2312" w:eastAsia="仿宋_GB2312"/>
          <w:b/>
          <w:color w:val="000000"/>
          <w:kern w:val="2"/>
          <w:sz w:val="32"/>
          <w:lang w:val="zh-CN"/>
        </w:rPr>
        <w:t>（一）一般公共预算财政拨款支出决算总体情况。</w:t>
      </w:r>
    </w:p>
    <w:p w14:paraId="0A618522">
      <w:pPr>
        <w:keepNext/>
        <w:keepLines/>
        <w:spacing w:line="576" w:lineRule="exact"/>
        <w:ind w:firstLine="640"/>
        <w:jc w:val="both"/>
        <w:rPr>
          <w:rFonts w:hint="default" w:ascii="仿宋_GB2312" w:hAnsi="仿宋_GB2312" w:eastAsia="仿宋_GB2312"/>
          <w:color w:val="000000"/>
          <w:kern w:val="2"/>
          <w:sz w:val="32"/>
          <w:lang w:val="zh-CN"/>
        </w:rPr>
      </w:pPr>
      <w:r>
        <w:drawing>
          <wp:anchor distT="0" distB="0" distL="114300" distR="114300" simplePos="0" relativeHeight="251660288" behindDoc="1" locked="0" layoutInCell="1" allowOverlap="1">
            <wp:simplePos x="0" y="0"/>
            <wp:positionH relativeFrom="column">
              <wp:posOffset>601345</wp:posOffset>
            </wp:positionH>
            <wp:positionV relativeFrom="paragraph">
              <wp:posOffset>230505</wp:posOffset>
            </wp:positionV>
            <wp:extent cx="4619625" cy="1906270"/>
            <wp:effectExtent l="4445" t="4445" r="5080" b="13335"/>
            <wp:wrapNone/>
            <wp:docPr id="514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AC39B94">
      <w:pPr>
        <w:keepNext/>
        <w:keepLines/>
        <w:spacing w:line="576" w:lineRule="exact"/>
        <w:ind w:firstLine="640"/>
        <w:jc w:val="both"/>
        <w:rPr>
          <w:rFonts w:hint="default" w:ascii="仿宋_GB2312" w:hAnsi="仿宋_GB2312" w:eastAsia="仿宋_GB2312"/>
          <w:color w:val="000000"/>
          <w:kern w:val="2"/>
          <w:sz w:val="32"/>
          <w:lang w:val="zh-CN"/>
        </w:rPr>
      </w:pPr>
    </w:p>
    <w:p w14:paraId="43F1BAAF">
      <w:pPr>
        <w:keepNext/>
        <w:keepLines/>
        <w:spacing w:line="576" w:lineRule="exact"/>
        <w:ind w:firstLine="640"/>
        <w:jc w:val="both"/>
        <w:rPr>
          <w:rFonts w:hint="default" w:ascii="仿宋_GB2312" w:hAnsi="仿宋_GB2312" w:eastAsia="仿宋_GB2312"/>
          <w:color w:val="000000"/>
          <w:kern w:val="2"/>
          <w:sz w:val="32"/>
          <w:lang w:val="zh-CN"/>
        </w:rPr>
      </w:pPr>
    </w:p>
    <w:p w14:paraId="6EDF7E75">
      <w:pPr>
        <w:keepNext/>
        <w:keepLines/>
        <w:spacing w:line="576" w:lineRule="exact"/>
        <w:ind w:firstLine="640"/>
        <w:jc w:val="both"/>
        <w:rPr>
          <w:rFonts w:hint="default" w:ascii="仿宋_GB2312" w:hAnsi="仿宋_GB2312" w:eastAsia="仿宋_GB2312"/>
          <w:color w:val="000000"/>
          <w:kern w:val="2"/>
          <w:sz w:val="32"/>
          <w:lang w:val="zh-CN"/>
        </w:rPr>
      </w:pPr>
    </w:p>
    <w:p w14:paraId="181B9C89">
      <w:pPr>
        <w:keepNext/>
        <w:keepLines/>
        <w:spacing w:line="576" w:lineRule="exact"/>
        <w:ind w:firstLine="640"/>
        <w:jc w:val="both"/>
        <w:rPr>
          <w:rFonts w:hint="default" w:ascii="仿宋_GB2312" w:hAnsi="仿宋_GB2312" w:eastAsia="仿宋_GB2312"/>
          <w:color w:val="000000"/>
          <w:kern w:val="2"/>
          <w:sz w:val="32"/>
          <w:lang w:val="zh-CN"/>
        </w:rPr>
      </w:pPr>
    </w:p>
    <w:p w14:paraId="1B1C4C69">
      <w:pPr>
        <w:keepNext/>
        <w:keepLines/>
        <w:spacing w:line="576" w:lineRule="exact"/>
        <w:ind w:firstLine="640"/>
        <w:jc w:val="both"/>
        <w:rPr>
          <w:rFonts w:hint="default" w:ascii="仿宋_GB2312" w:hAnsi="仿宋_GB2312" w:eastAsia="仿宋_GB2312"/>
          <w:color w:val="000000"/>
          <w:kern w:val="2"/>
          <w:sz w:val="32"/>
          <w:lang w:val="zh-CN"/>
        </w:rPr>
      </w:pPr>
    </w:p>
    <w:p w14:paraId="40755B26">
      <w:pPr>
        <w:keepNext/>
        <w:keepLines/>
        <w:spacing w:line="576" w:lineRule="exact"/>
        <w:ind w:firstLine="64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一般公共预算财政拨款支出</w:t>
      </w:r>
      <w:r>
        <w:rPr>
          <w:rFonts w:ascii="仿宋_GB2312" w:hAnsi="仿宋_GB2312" w:eastAsia="仿宋_GB2312"/>
          <w:color w:val="000000"/>
          <w:kern w:val="2"/>
          <w:sz w:val="32"/>
        </w:rPr>
        <w:t>860.48</w:t>
      </w:r>
      <w:r>
        <w:rPr>
          <w:rFonts w:ascii="仿宋_GB2312" w:hAnsi="仿宋_GB2312" w:eastAsia="仿宋_GB2312"/>
          <w:color w:val="000000"/>
          <w:kern w:val="2"/>
          <w:sz w:val="32"/>
          <w:lang w:val="zh-CN"/>
        </w:rPr>
        <w:t>万元，占本年支出合计的100%。与202</w:t>
      </w:r>
      <w:r>
        <w:rPr>
          <w:rFonts w:ascii="仿宋_GB2312" w:hAnsi="仿宋_GB2312" w:eastAsia="仿宋_GB2312"/>
          <w:color w:val="000000"/>
          <w:kern w:val="2"/>
          <w:sz w:val="32"/>
        </w:rPr>
        <w:t>2</w:t>
      </w:r>
      <w:r>
        <w:rPr>
          <w:rFonts w:ascii="仿宋_GB2312" w:hAnsi="仿宋_GB2312" w:eastAsia="仿宋_GB2312"/>
          <w:color w:val="000000"/>
          <w:kern w:val="2"/>
          <w:sz w:val="32"/>
          <w:lang w:val="zh-CN"/>
        </w:rPr>
        <w:t>年相比，一般公共预算财政拨款支出增加</w:t>
      </w:r>
      <w:r>
        <w:rPr>
          <w:rFonts w:ascii="仿宋_GB2312" w:hAnsi="仿宋_GB2312" w:eastAsia="仿宋_GB2312"/>
          <w:color w:val="000000"/>
          <w:kern w:val="2"/>
          <w:sz w:val="32"/>
        </w:rPr>
        <w:t>90.16</w:t>
      </w:r>
      <w:r>
        <w:rPr>
          <w:rFonts w:ascii="仿宋_GB2312" w:hAnsi="仿宋_GB2312" w:eastAsia="仿宋_GB2312"/>
          <w:color w:val="000000"/>
          <w:kern w:val="2"/>
          <w:sz w:val="32"/>
          <w:lang w:val="zh-CN"/>
        </w:rPr>
        <w:t>万元，增长</w:t>
      </w:r>
      <w:r>
        <w:rPr>
          <w:rFonts w:ascii="仿宋_GB2312" w:hAnsi="仿宋_GB2312" w:eastAsia="仿宋_GB2312"/>
          <w:color w:val="000000"/>
          <w:kern w:val="2"/>
          <w:sz w:val="32"/>
        </w:rPr>
        <w:t>11.70</w:t>
      </w:r>
      <w:r>
        <w:rPr>
          <w:rFonts w:ascii="仿宋_GB2312" w:hAnsi="仿宋_GB2312" w:eastAsia="仿宋_GB2312"/>
          <w:color w:val="000000"/>
          <w:kern w:val="2"/>
          <w:sz w:val="32"/>
          <w:lang w:val="zh-CN"/>
        </w:rPr>
        <w:t>%。主要变动原因是</w:t>
      </w:r>
      <w:r>
        <w:rPr>
          <w:rFonts w:ascii="仿宋_GB2312" w:hAnsi="仿宋_GB2312" w:eastAsia="仿宋_GB2312"/>
          <w:color w:val="000000"/>
          <w:kern w:val="2"/>
          <w:sz w:val="32"/>
        </w:rPr>
        <w:t>人员经费增长中的教师社保缴费增加</w:t>
      </w:r>
      <w:r>
        <w:rPr>
          <w:rFonts w:ascii="仿宋_GB2312" w:hAnsi="仿宋_GB2312" w:eastAsia="仿宋_GB2312"/>
          <w:color w:val="000000"/>
          <w:kern w:val="2"/>
          <w:sz w:val="32"/>
          <w:lang w:val="zh-CN"/>
        </w:rPr>
        <w:t>。</w:t>
      </w:r>
    </w:p>
    <w:p w14:paraId="3BAF354E">
      <w:pPr>
        <w:keepNext/>
        <w:keepLines/>
        <w:numPr>
          <w:ilvl w:val="0"/>
          <w:numId w:val="3"/>
        </w:numPr>
        <w:spacing w:line="576" w:lineRule="exact"/>
        <w:ind w:firstLine="643"/>
        <w:jc w:val="both"/>
        <w:rPr>
          <w:rFonts w:hint="default" w:ascii="仿宋_GB2312" w:hAnsi="仿宋_GB2312" w:eastAsia="仿宋_GB2312"/>
          <w:color w:val="000000"/>
          <w:kern w:val="2"/>
          <w:sz w:val="32"/>
          <w:lang w:val="zh-CN"/>
        </w:rPr>
      </w:pPr>
      <w:r>
        <w:rPr>
          <w:rFonts w:ascii="仿宋_GB2312" w:hAnsi="仿宋_GB2312" w:eastAsia="仿宋_GB2312"/>
          <w:b/>
          <w:color w:val="000000"/>
          <w:kern w:val="2"/>
          <w:sz w:val="32"/>
          <w:lang w:val="zh-CN"/>
        </w:rPr>
        <w:t>一般公共预算财政拨款支出决算结构情况。</w:t>
      </w:r>
    </w:p>
    <w:p w14:paraId="4411E8E6">
      <w:pPr>
        <w:keepNext/>
        <w:keepLines/>
        <w:spacing w:line="576" w:lineRule="exact"/>
        <w:ind w:firstLine="640" w:firstLineChars="20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一般公共预算财政拨款支出</w:t>
      </w:r>
      <w:r>
        <w:rPr>
          <w:rFonts w:ascii="仿宋_GB2312" w:hAnsi="仿宋_GB2312" w:eastAsia="仿宋_GB2312"/>
          <w:color w:val="000000"/>
          <w:kern w:val="2"/>
          <w:sz w:val="32"/>
        </w:rPr>
        <w:t>860.48</w:t>
      </w:r>
      <w:r>
        <w:rPr>
          <w:rFonts w:ascii="仿宋_GB2312" w:hAnsi="仿宋_GB2312" w:eastAsia="仿宋_GB2312"/>
          <w:color w:val="000000"/>
          <w:kern w:val="2"/>
          <w:sz w:val="32"/>
          <w:lang w:val="zh-CN"/>
        </w:rPr>
        <w:t>万元，主要用于以下方面</w:t>
      </w:r>
      <w:r>
        <w:rPr>
          <w:rFonts w:hint="eastAsia" w:ascii="仿宋_GB2312" w:hAnsi="仿宋_GB2312" w:eastAsia="仿宋_GB2312"/>
          <w:color w:val="000000"/>
          <w:kern w:val="2"/>
          <w:sz w:val="32"/>
          <w:lang w:val="zh-CN"/>
        </w:rPr>
        <w:t>：</w:t>
      </w:r>
      <w:r>
        <w:rPr>
          <w:rFonts w:ascii="仿宋_GB2312" w:hAnsi="仿宋_GB2312" w:eastAsia="仿宋_GB2312"/>
          <w:color w:val="000000"/>
          <w:kern w:val="2"/>
          <w:sz w:val="32"/>
          <w:lang w:val="zh-CN"/>
        </w:rPr>
        <w:t>教育支出</w:t>
      </w:r>
      <w:r>
        <w:rPr>
          <w:rFonts w:ascii="仿宋_GB2312" w:hAnsi="仿宋_GB2312" w:eastAsia="仿宋_GB2312"/>
          <w:color w:val="000000"/>
          <w:kern w:val="2"/>
          <w:sz w:val="32"/>
        </w:rPr>
        <w:t>664.60</w:t>
      </w:r>
      <w:r>
        <w:rPr>
          <w:rFonts w:ascii="仿宋_GB2312" w:hAnsi="仿宋_GB2312" w:eastAsia="仿宋_GB2312"/>
          <w:color w:val="000000"/>
          <w:kern w:val="2"/>
          <w:sz w:val="32"/>
          <w:lang w:val="zh-CN"/>
        </w:rPr>
        <w:t>万元，占</w:t>
      </w:r>
      <w:r>
        <w:rPr>
          <w:rFonts w:ascii="仿宋_GB2312" w:hAnsi="仿宋_GB2312" w:eastAsia="仿宋_GB2312"/>
          <w:color w:val="000000"/>
          <w:kern w:val="2"/>
          <w:sz w:val="32"/>
        </w:rPr>
        <w:t>77.24</w:t>
      </w:r>
      <w:r>
        <w:rPr>
          <w:rFonts w:ascii="仿宋_GB2312" w:hAnsi="仿宋_GB2312" w:eastAsia="仿宋_GB2312"/>
          <w:color w:val="000000"/>
          <w:kern w:val="2"/>
          <w:sz w:val="32"/>
          <w:lang w:val="zh-CN"/>
        </w:rPr>
        <w:t>%；社会保障和就业支出</w:t>
      </w:r>
      <w:r>
        <w:rPr>
          <w:rFonts w:ascii="仿宋_GB2312" w:hAnsi="仿宋_GB2312" w:eastAsia="仿宋_GB2312"/>
          <w:color w:val="000000"/>
          <w:kern w:val="2"/>
          <w:sz w:val="32"/>
        </w:rPr>
        <w:t>89.44</w:t>
      </w:r>
      <w:r>
        <w:rPr>
          <w:rFonts w:ascii="仿宋_GB2312" w:hAnsi="仿宋_GB2312" w:eastAsia="仿宋_GB2312"/>
          <w:color w:val="000000"/>
          <w:kern w:val="2"/>
          <w:sz w:val="32"/>
          <w:lang w:val="zh-CN"/>
        </w:rPr>
        <w:t>万元，占</w:t>
      </w:r>
      <w:r>
        <w:rPr>
          <w:rFonts w:ascii="仿宋_GB2312" w:hAnsi="仿宋_GB2312" w:eastAsia="仿宋_GB2312"/>
          <w:color w:val="000000"/>
          <w:kern w:val="2"/>
          <w:sz w:val="32"/>
        </w:rPr>
        <w:t>10.40</w:t>
      </w:r>
      <w:r>
        <w:rPr>
          <w:rFonts w:ascii="仿宋_GB2312" w:hAnsi="仿宋_GB2312" w:eastAsia="仿宋_GB2312"/>
          <w:color w:val="000000"/>
          <w:kern w:val="2"/>
          <w:sz w:val="32"/>
          <w:lang w:val="zh-CN"/>
        </w:rPr>
        <w:t>%；</w:t>
      </w:r>
      <w:r>
        <w:rPr>
          <w:rFonts w:ascii="仿宋_GB2312" w:hAnsi="仿宋_GB2312" w:eastAsia="仿宋_GB2312"/>
          <w:color w:val="000000"/>
          <w:kern w:val="2"/>
          <w:sz w:val="32"/>
        </w:rPr>
        <w:t>卫生健康</w:t>
      </w:r>
      <w:r>
        <w:rPr>
          <w:rFonts w:ascii="仿宋_GB2312" w:hAnsi="仿宋_GB2312" w:eastAsia="仿宋_GB2312"/>
          <w:color w:val="000000"/>
          <w:kern w:val="2"/>
          <w:sz w:val="32"/>
          <w:lang w:val="zh-CN"/>
        </w:rPr>
        <w:t>支出</w:t>
      </w:r>
      <w:r>
        <w:rPr>
          <w:rFonts w:ascii="仿宋_GB2312" w:hAnsi="仿宋_GB2312" w:eastAsia="仿宋_GB2312"/>
          <w:color w:val="000000"/>
          <w:kern w:val="2"/>
          <w:sz w:val="32"/>
        </w:rPr>
        <w:t>32.58</w:t>
      </w:r>
      <w:r>
        <w:rPr>
          <w:rFonts w:ascii="仿宋_GB2312" w:hAnsi="仿宋_GB2312" w:eastAsia="仿宋_GB2312"/>
          <w:color w:val="000000"/>
          <w:kern w:val="2"/>
          <w:sz w:val="32"/>
          <w:lang w:val="zh-CN"/>
        </w:rPr>
        <w:t>万元，占</w:t>
      </w:r>
      <w:r>
        <w:rPr>
          <w:rFonts w:ascii="仿宋_GB2312" w:hAnsi="仿宋_GB2312" w:eastAsia="仿宋_GB2312"/>
          <w:color w:val="000000"/>
          <w:kern w:val="2"/>
          <w:sz w:val="32"/>
        </w:rPr>
        <w:t>3.78</w:t>
      </w:r>
      <w:r>
        <w:rPr>
          <w:rFonts w:ascii="仿宋_GB2312" w:hAnsi="仿宋_GB2312" w:eastAsia="仿宋_GB2312"/>
          <w:color w:val="000000"/>
          <w:kern w:val="2"/>
          <w:sz w:val="32"/>
          <w:lang w:val="zh-CN"/>
        </w:rPr>
        <w:t>%；</w:t>
      </w:r>
      <w:r>
        <w:rPr>
          <w:rFonts w:ascii="仿宋_GB2312" w:hAnsi="仿宋_GB2312" w:eastAsia="仿宋_GB2312"/>
          <w:color w:val="000000"/>
          <w:kern w:val="2"/>
          <w:sz w:val="32"/>
        </w:rPr>
        <w:t>农林水支出10.99万元，占1.28%；</w:t>
      </w:r>
      <w:r>
        <w:rPr>
          <w:rFonts w:ascii="仿宋_GB2312" w:hAnsi="仿宋_GB2312" w:eastAsia="仿宋_GB2312"/>
          <w:color w:val="000000"/>
          <w:kern w:val="2"/>
          <w:sz w:val="32"/>
          <w:lang w:val="zh-CN"/>
        </w:rPr>
        <w:t>住房保障支出</w:t>
      </w:r>
      <w:r>
        <w:rPr>
          <w:rFonts w:ascii="仿宋_GB2312" w:hAnsi="仿宋_GB2312" w:eastAsia="仿宋_GB2312"/>
          <w:color w:val="000000"/>
          <w:kern w:val="2"/>
          <w:sz w:val="32"/>
        </w:rPr>
        <w:t>62.87</w:t>
      </w:r>
      <w:r>
        <w:rPr>
          <w:rFonts w:ascii="仿宋_GB2312" w:hAnsi="仿宋_GB2312" w:eastAsia="仿宋_GB2312"/>
          <w:color w:val="000000"/>
          <w:kern w:val="2"/>
          <w:sz w:val="32"/>
          <w:lang w:val="zh-CN"/>
        </w:rPr>
        <w:t>万元，占</w:t>
      </w:r>
      <w:r>
        <w:rPr>
          <w:rFonts w:ascii="仿宋_GB2312" w:hAnsi="仿宋_GB2312" w:eastAsia="仿宋_GB2312"/>
          <w:color w:val="000000"/>
          <w:kern w:val="2"/>
          <w:sz w:val="32"/>
        </w:rPr>
        <w:t>7.30</w:t>
      </w:r>
      <w:r>
        <w:rPr>
          <w:rFonts w:ascii="仿宋_GB2312" w:hAnsi="仿宋_GB2312" w:eastAsia="仿宋_GB2312"/>
          <w:color w:val="000000"/>
          <w:kern w:val="2"/>
          <w:sz w:val="32"/>
          <w:lang w:val="zh-CN"/>
        </w:rPr>
        <w:t>%。</w:t>
      </w:r>
    </w:p>
    <w:p w14:paraId="2FC457F3">
      <w:pPr>
        <w:keepNext/>
        <w:keepLines/>
        <w:ind w:firstLine="480" w:firstLineChars="200"/>
        <w:jc w:val="both"/>
        <w:rPr>
          <w:rFonts w:hint="default" w:ascii="仿宋_GB2312" w:hAnsi="仿宋_GB2312" w:eastAsia="仿宋_GB2312"/>
          <w:color w:val="000000"/>
          <w:kern w:val="2"/>
          <w:sz w:val="32"/>
          <w:lang w:val="zh-CN"/>
        </w:rPr>
      </w:pPr>
      <w:r>
        <w:drawing>
          <wp:anchor distT="0" distB="0" distL="114300" distR="114300" simplePos="0" relativeHeight="251660288" behindDoc="1" locked="0" layoutInCell="1" allowOverlap="1">
            <wp:simplePos x="0" y="0"/>
            <wp:positionH relativeFrom="column">
              <wp:posOffset>560070</wp:posOffset>
            </wp:positionH>
            <wp:positionV relativeFrom="paragraph">
              <wp:posOffset>17145</wp:posOffset>
            </wp:positionV>
            <wp:extent cx="4503420" cy="2077085"/>
            <wp:effectExtent l="5080" t="4445" r="6350" b="13970"/>
            <wp:wrapNone/>
            <wp:docPr id="615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9641E44">
      <w:pPr>
        <w:keepNext/>
        <w:keepLines/>
        <w:spacing w:line="576" w:lineRule="exact"/>
        <w:ind w:firstLine="643"/>
        <w:jc w:val="both"/>
        <w:rPr>
          <w:rFonts w:hint="default" w:ascii="仿宋_GB2312" w:hAnsi="仿宋_GB2312" w:eastAsia="仿宋_GB2312"/>
          <w:b/>
          <w:color w:val="000000"/>
          <w:kern w:val="2"/>
          <w:sz w:val="32"/>
          <w:lang w:val="zh-CN"/>
        </w:rPr>
      </w:pPr>
    </w:p>
    <w:p w14:paraId="2340591A">
      <w:pPr>
        <w:keepNext/>
        <w:keepLines/>
        <w:spacing w:line="576" w:lineRule="exact"/>
        <w:ind w:firstLine="643"/>
        <w:jc w:val="both"/>
        <w:rPr>
          <w:rFonts w:hint="default" w:ascii="仿宋_GB2312" w:hAnsi="仿宋_GB2312" w:eastAsia="仿宋_GB2312"/>
          <w:b/>
          <w:color w:val="000000"/>
          <w:kern w:val="2"/>
          <w:sz w:val="32"/>
          <w:lang w:val="zh-CN"/>
        </w:rPr>
      </w:pPr>
    </w:p>
    <w:p w14:paraId="58691E32">
      <w:pPr>
        <w:keepNext/>
        <w:keepLines/>
        <w:spacing w:line="576" w:lineRule="exact"/>
        <w:ind w:firstLine="643"/>
        <w:jc w:val="both"/>
        <w:rPr>
          <w:rFonts w:hint="default" w:ascii="仿宋_GB2312" w:hAnsi="仿宋_GB2312" w:eastAsia="仿宋_GB2312"/>
          <w:b/>
          <w:color w:val="000000"/>
          <w:kern w:val="2"/>
          <w:sz w:val="32"/>
          <w:lang w:val="zh-CN"/>
        </w:rPr>
      </w:pPr>
    </w:p>
    <w:p w14:paraId="16AFF397">
      <w:pPr>
        <w:keepNext/>
        <w:keepLines/>
        <w:spacing w:line="576" w:lineRule="exact"/>
        <w:ind w:firstLine="643"/>
        <w:jc w:val="both"/>
        <w:rPr>
          <w:rFonts w:hint="default" w:ascii="仿宋_GB2312" w:hAnsi="仿宋_GB2312" w:eastAsia="仿宋_GB2312"/>
          <w:b/>
          <w:color w:val="000000"/>
          <w:kern w:val="2"/>
          <w:sz w:val="32"/>
          <w:lang w:val="zh-CN"/>
        </w:rPr>
      </w:pPr>
    </w:p>
    <w:p w14:paraId="6DA85644">
      <w:pPr>
        <w:keepNext/>
        <w:keepLines/>
        <w:spacing w:line="576" w:lineRule="exact"/>
        <w:ind w:firstLine="643"/>
        <w:jc w:val="both"/>
        <w:rPr>
          <w:rFonts w:hint="default" w:ascii="仿宋_GB2312" w:hAnsi="仿宋_GB2312" w:eastAsia="仿宋_GB2312"/>
          <w:b/>
          <w:color w:val="000000"/>
          <w:kern w:val="2"/>
          <w:sz w:val="32"/>
          <w:lang w:val="zh-CN"/>
        </w:rPr>
      </w:pPr>
      <w:r>
        <w:rPr>
          <w:rFonts w:ascii="仿宋_GB2312" w:hAnsi="仿宋_GB2312" w:eastAsia="仿宋_GB2312"/>
          <w:b/>
          <w:color w:val="000000"/>
          <w:kern w:val="2"/>
          <w:sz w:val="32"/>
          <w:lang w:val="zh-CN"/>
        </w:rPr>
        <w:t>（三）一般公共预算财政拨款支出决算具体情况。</w:t>
      </w:r>
    </w:p>
    <w:p w14:paraId="4DA3DBAC">
      <w:pPr>
        <w:spacing w:line="600" w:lineRule="exact"/>
        <w:ind w:firstLine="643" w:firstLineChars="200"/>
        <w:outlineLvl w:val="2"/>
        <w:rPr>
          <w:rStyle w:val="11"/>
          <w:rFonts w:hint="eastAsia" w:ascii="仿宋" w:hAnsi="仿宋" w:eastAsia="仿宋"/>
          <w:bCs/>
          <w:sz w:val="32"/>
          <w:szCs w:val="32"/>
        </w:rPr>
      </w:pPr>
      <w:bookmarkStart w:id="4" w:name="_Toc15378460"/>
      <w:bookmarkStart w:id="5" w:name="_Toc15377444"/>
      <w:bookmarkStart w:id="6" w:name="_Toc15377213"/>
      <w:r>
        <w:rPr>
          <w:rFonts w:ascii="仿宋" w:hAnsi="仿宋" w:eastAsia="仿宋"/>
          <w:b/>
          <w:sz w:val="32"/>
          <w:szCs w:val="32"/>
        </w:rPr>
        <w:t>2023年度一般公共预算支出决算数为2706.77</w:t>
      </w:r>
      <w:r>
        <w:rPr>
          <w:rFonts w:hint="eastAsia" w:ascii="仿宋" w:hAnsi="仿宋" w:eastAsia="仿宋"/>
          <w:b/>
          <w:sz w:val="32"/>
          <w:szCs w:val="32"/>
          <w:lang w:eastAsia="zh-CN"/>
        </w:rPr>
        <w:t>万元</w:t>
      </w:r>
      <w:r>
        <w:rPr>
          <w:rFonts w:ascii="仿宋" w:hAnsi="仿宋" w:eastAsia="仿宋"/>
          <w:sz w:val="32"/>
          <w:szCs w:val="32"/>
        </w:rPr>
        <w:t>，</w:t>
      </w:r>
      <w:r>
        <w:rPr>
          <w:rStyle w:val="11"/>
          <w:rFonts w:hint="eastAsia" w:ascii="仿宋" w:hAnsi="仿宋" w:eastAsia="仿宋"/>
          <w:bCs/>
          <w:sz w:val="32"/>
          <w:szCs w:val="32"/>
        </w:rPr>
        <w:t>完成预算100%。其中：</w:t>
      </w:r>
      <w:bookmarkEnd w:id="4"/>
      <w:bookmarkEnd w:id="5"/>
      <w:bookmarkEnd w:id="6"/>
    </w:p>
    <w:p w14:paraId="53507863">
      <w:pPr>
        <w:spacing w:line="600" w:lineRule="exact"/>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rPr>
        <w:t>1.教育支出（类）普通教育（款）初中教育（项）：支出决算为664.6万元，完成预算100%。</w:t>
      </w:r>
    </w:p>
    <w:p w14:paraId="27C7AADF">
      <w:pPr>
        <w:spacing w:line="600" w:lineRule="exact"/>
        <w:ind w:firstLine="643" w:firstLineChars="200"/>
        <w:rPr>
          <w:rFonts w:eastAsia="仿宋"/>
        </w:rPr>
      </w:pPr>
      <w:r>
        <w:rPr>
          <w:rStyle w:val="11"/>
          <w:rFonts w:hint="eastAsia" w:ascii="仿宋" w:hAnsi="仿宋" w:eastAsia="仿宋"/>
          <w:bCs/>
          <w:color w:val="000000"/>
          <w:sz w:val="32"/>
          <w:szCs w:val="32"/>
        </w:rPr>
        <w:t>2.社会保障和就业支出（类）行政事业单位养老支出（款）事业单位离退休（项）：支出决算为6.41万元，完成预算100%，决算数与预算数持平。</w:t>
      </w:r>
    </w:p>
    <w:p w14:paraId="0BA56E41">
      <w:pPr>
        <w:spacing w:line="600" w:lineRule="exact"/>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rPr>
        <w:t>3.社会保障和就业支出（类）行政事业单位养老支出（款）机关事业单位基本养老保险缴费支出（项）：支出决算为80.81万元，完成预算100%，决算数与预算数持平。</w:t>
      </w:r>
    </w:p>
    <w:p w14:paraId="3AE88562">
      <w:pPr>
        <w:pStyle w:val="17"/>
        <w:ind w:firstLine="643" w:firstLineChars="200"/>
        <w:jc w:val="left"/>
      </w:pPr>
      <w:r>
        <w:rPr>
          <w:rStyle w:val="11"/>
          <w:rFonts w:hint="eastAsia" w:ascii="仿宋" w:hAnsi="仿宋" w:eastAsia="仿宋"/>
          <w:bCs/>
          <w:color w:val="000000"/>
          <w:sz w:val="32"/>
          <w:szCs w:val="32"/>
        </w:rPr>
        <w:t>5</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社会保障和就业支出（类）其他社会保障和就业支出（款）其他社会保障和就业支出（项）：支出决算为</w:t>
      </w:r>
      <w:r>
        <w:rPr>
          <w:rStyle w:val="11"/>
          <w:rFonts w:ascii="仿宋" w:hAnsi="仿宋" w:eastAsia="仿宋"/>
          <w:bCs/>
          <w:color w:val="000000"/>
          <w:sz w:val="32"/>
          <w:szCs w:val="32"/>
        </w:rPr>
        <w:t>2.22</w:t>
      </w:r>
      <w:r>
        <w:rPr>
          <w:rStyle w:val="11"/>
          <w:rFonts w:hint="eastAsia" w:ascii="仿宋" w:hAnsi="仿宋" w:eastAsia="仿宋"/>
          <w:bCs/>
          <w:color w:val="000000"/>
          <w:sz w:val="32"/>
          <w:szCs w:val="32"/>
        </w:rPr>
        <w:t>万元，完成预算100</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，决算数与预算数持平。</w:t>
      </w:r>
    </w:p>
    <w:p w14:paraId="11A47B3C">
      <w:pPr>
        <w:spacing w:line="600" w:lineRule="exact"/>
        <w:ind w:firstLine="643" w:firstLineChars="200"/>
        <w:rPr>
          <w:rStyle w:val="11"/>
          <w:rFonts w:hint="eastAsia" w:ascii="仿宋" w:hAnsi="仿宋" w:eastAsia="仿宋"/>
          <w:b w:val="0"/>
          <w:bCs/>
          <w:sz w:val="32"/>
          <w:szCs w:val="32"/>
        </w:rPr>
      </w:pPr>
      <w:r>
        <w:rPr>
          <w:rStyle w:val="11"/>
          <w:rFonts w:hint="eastAsia" w:ascii="仿宋" w:hAnsi="仿宋" w:eastAsia="仿宋"/>
          <w:bCs/>
          <w:sz w:val="32"/>
          <w:szCs w:val="32"/>
        </w:rPr>
        <w:t>7.</w:t>
      </w:r>
      <w:r>
        <w:rPr>
          <w:rFonts w:ascii="仿宋" w:hAnsi="仿宋" w:eastAsia="仿宋"/>
          <w:b/>
          <w:bCs/>
          <w:sz w:val="32"/>
          <w:szCs w:val="32"/>
        </w:rPr>
        <w:t>卫生健康支出</w:t>
      </w:r>
      <w:r>
        <w:rPr>
          <w:rStyle w:val="11"/>
          <w:rFonts w:hint="eastAsia" w:ascii="仿宋" w:hAnsi="仿宋" w:eastAsia="仿宋"/>
          <w:bCs/>
          <w:sz w:val="32"/>
          <w:szCs w:val="32"/>
        </w:rPr>
        <w:t>（类）行政事业单位医疗（款）事业单位医疗（项）：支出决算为0.42万元，完成预算100%</w:t>
      </w:r>
      <w:r>
        <w:rPr>
          <w:rStyle w:val="11"/>
          <w:rFonts w:hint="eastAsia" w:ascii="仿宋" w:hAnsi="仿宋" w:eastAsia="仿宋"/>
          <w:bCs/>
          <w:color w:val="000000"/>
          <w:sz w:val="32"/>
          <w:szCs w:val="32"/>
        </w:rPr>
        <w:t>，决算数与预算数持平</w:t>
      </w:r>
      <w:r>
        <w:rPr>
          <w:rStyle w:val="11"/>
          <w:rFonts w:hint="eastAsia" w:ascii="仿宋" w:hAnsi="仿宋" w:eastAsia="仿宋"/>
          <w:bCs/>
          <w:sz w:val="32"/>
          <w:szCs w:val="32"/>
        </w:rPr>
        <w:t>。</w:t>
      </w:r>
    </w:p>
    <w:p w14:paraId="5913EB8B">
      <w:pPr>
        <w:pStyle w:val="17"/>
        <w:ind w:firstLine="643" w:firstLineChars="200"/>
        <w:jc w:val="left"/>
      </w:pPr>
      <w:r>
        <w:rPr>
          <w:rStyle w:val="11"/>
          <w:rFonts w:hint="eastAsia" w:ascii="仿宋" w:hAnsi="仿宋" w:eastAsia="仿宋"/>
          <w:bCs/>
          <w:color w:val="auto"/>
          <w:sz w:val="32"/>
          <w:szCs w:val="32"/>
        </w:rPr>
        <w:t>8</w:t>
      </w:r>
      <w:r>
        <w:rPr>
          <w:rStyle w:val="11"/>
          <w:rFonts w:ascii="仿宋" w:hAnsi="仿宋" w:eastAsia="仿宋"/>
          <w:bCs/>
          <w:color w:val="auto"/>
          <w:sz w:val="32"/>
          <w:szCs w:val="32"/>
        </w:rPr>
        <w:t>.</w:t>
      </w:r>
      <w:r>
        <w:rPr>
          <w:rFonts w:hint="eastAsia" w:ascii="仿宋" w:hAnsi="仿宋" w:eastAsia="仿宋"/>
          <w:b/>
          <w:bCs/>
          <w:color w:val="auto"/>
          <w:sz w:val="32"/>
          <w:szCs w:val="32"/>
        </w:rPr>
        <w:t>卫生健康支出</w:t>
      </w:r>
      <w:r>
        <w:rPr>
          <w:rStyle w:val="11"/>
          <w:rFonts w:hint="eastAsia" w:ascii="仿宋" w:hAnsi="仿宋" w:eastAsia="仿宋"/>
          <w:bCs/>
          <w:color w:val="auto"/>
          <w:sz w:val="32"/>
          <w:szCs w:val="32"/>
        </w:rPr>
        <w:t>（类）行政事业单位医疗（款）其他行政事业单位医疗支出（项）：支出决算为</w:t>
      </w:r>
      <w:r>
        <w:rPr>
          <w:rStyle w:val="11"/>
          <w:rFonts w:ascii="仿宋" w:hAnsi="仿宋" w:eastAsia="仿宋"/>
          <w:bCs/>
          <w:color w:val="auto"/>
          <w:sz w:val="32"/>
          <w:szCs w:val="32"/>
        </w:rPr>
        <w:t>32.16</w:t>
      </w:r>
      <w:r>
        <w:rPr>
          <w:rStyle w:val="11"/>
          <w:rFonts w:hint="eastAsia" w:ascii="仿宋" w:hAnsi="仿宋" w:eastAsia="仿宋"/>
          <w:bCs/>
          <w:color w:val="auto"/>
          <w:sz w:val="32"/>
          <w:szCs w:val="32"/>
        </w:rPr>
        <w:t>万元，完成预算100</w:t>
      </w:r>
      <w:r>
        <w:rPr>
          <w:rStyle w:val="11"/>
          <w:rFonts w:ascii="仿宋" w:hAnsi="仿宋" w:eastAsia="仿宋"/>
          <w:bCs/>
          <w:color w:val="auto"/>
          <w:sz w:val="32"/>
          <w:szCs w:val="32"/>
        </w:rPr>
        <w:t>%</w:t>
      </w:r>
      <w:r>
        <w:rPr>
          <w:rStyle w:val="11"/>
          <w:rFonts w:hint="eastAsia" w:ascii="仿宋" w:hAnsi="仿宋" w:eastAsia="仿宋"/>
          <w:bCs/>
          <w:color w:val="auto"/>
          <w:sz w:val="32"/>
          <w:szCs w:val="32"/>
        </w:rPr>
        <w:t>，决算数与预算数持平。</w:t>
      </w:r>
    </w:p>
    <w:p w14:paraId="00A69FAB">
      <w:pPr>
        <w:spacing w:line="600" w:lineRule="exact"/>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rPr>
        <w:t>9.</w:t>
      </w:r>
      <w:r>
        <w:rPr>
          <w:rFonts w:ascii="仿宋" w:hAnsi="仿宋" w:eastAsia="仿宋"/>
          <w:b/>
          <w:bCs/>
          <w:color w:val="000000"/>
          <w:sz w:val="32"/>
          <w:szCs w:val="32"/>
        </w:rPr>
        <w:t>农林水支出</w:t>
      </w:r>
      <w:r>
        <w:rPr>
          <w:rStyle w:val="11"/>
          <w:rFonts w:hint="eastAsia" w:ascii="仿宋" w:hAnsi="仿宋" w:eastAsia="仿宋"/>
          <w:bCs/>
          <w:color w:val="000000"/>
          <w:sz w:val="32"/>
          <w:szCs w:val="32"/>
        </w:rPr>
        <w:t>（类）巩固脱贫衔接乡村振兴（款）社会发展（项）：支出决算为11.99万元，完成预算100%，决算数与预算数持平。</w:t>
      </w:r>
    </w:p>
    <w:p w14:paraId="093C47D6">
      <w:pPr>
        <w:spacing w:line="600" w:lineRule="exact"/>
        <w:ind w:firstLine="643" w:firstLineChars="200"/>
        <w:rPr>
          <w:rFonts w:ascii="仿宋" w:hAnsi="仿宋" w:eastAsia="仿宋"/>
          <w:b/>
          <w:color w:val="000000"/>
          <w:sz w:val="32"/>
          <w:szCs w:val="32"/>
        </w:rPr>
      </w:pPr>
      <w:r>
        <w:rPr>
          <w:rStyle w:val="11"/>
          <w:rFonts w:hint="eastAsia" w:ascii="仿宋" w:hAnsi="仿宋" w:eastAsia="仿宋"/>
          <w:bCs/>
          <w:color w:val="000000"/>
          <w:sz w:val="32"/>
          <w:szCs w:val="32"/>
        </w:rPr>
        <w:t>10.</w:t>
      </w:r>
      <w:r>
        <w:rPr>
          <w:rFonts w:ascii="仿宋" w:hAnsi="仿宋" w:eastAsia="仿宋"/>
          <w:b/>
          <w:bCs/>
          <w:color w:val="000000"/>
          <w:sz w:val="32"/>
          <w:szCs w:val="32"/>
        </w:rPr>
        <w:t>住房保障支出</w:t>
      </w:r>
      <w:r>
        <w:rPr>
          <w:rStyle w:val="11"/>
          <w:rFonts w:hint="eastAsia" w:ascii="仿宋" w:hAnsi="仿宋" w:eastAsia="仿宋"/>
          <w:bCs/>
          <w:color w:val="000000"/>
          <w:sz w:val="32"/>
          <w:szCs w:val="32"/>
        </w:rPr>
        <w:t>（类）住房改革支出（款）住房公积金（项）：支出决算为62.87万元，完成预算100%，决算数与预算数持平。</w:t>
      </w:r>
    </w:p>
    <w:p w14:paraId="6D4AB3EB">
      <w:pPr>
        <w:keepNext/>
        <w:keepLines/>
        <w:tabs>
          <w:tab w:val="right" w:pos="8306"/>
        </w:tabs>
        <w:spacing w:line="576" w:lineRule="exact"/>
        <w:ind w:firstLine="320" w:firstLineChars="100"/>
        <w:jc w:val="both"/>
        <w:rPr>
          <w:rFonts w:hint="default" w:ascii="Cambria" w:cs="Cambria"/>
          <w:b/>
          <w:kern w:val="2"/>
          <w:sz w:val="32"/>
          <w:lang w:val="zh-CN"/>
        </w:rPr>
      </w:pPr>
      <w:r>
        <w:rPr>
          <w:rFonts w:ascii="黑体" w:hAnsi="黑体" w:eastAsia="黑体"/>
          <w:color w:val="000000"/>
          <w:kern w:val="2"/>
          <w:sz w:val="32"/>
          <w:lang w:val="zh-CN"/>
        </w:rPr>
        <w:t>六</w:t>
      </w:r>
      <w:r>
        <w:rPr>
          <w:rFonts w:ascii="黑体" w:hAnsi="黑体" w:eastAsia="黑体"/>
          <w:b/>
          <w:color w:val="000000"/>
          <w:kern w:val="2"/>
          <w:sz w:val="32"/>
          <w:lang w:val="zh-CN"/>
        </w:rPr>
        <w:t>、一</w:t>
      </w:r>
      <w:r>
        <w:rPr>
          <w:rFonts w:ascii="黑体" w:hAnsi="黑体" w:eastAsia="黑体"/>
          <w:kern w:val="2"/>
          <w:sz w:val="32"/>
          <w:lang w:val="zh-CN"/>
        </w:rPr>
        <w:t>般公共预算财政拨款基本支出决算情况说明</w:t>
      </w:r>
      <w:r>
        <w:rPr>
          <w:rFonts w:hint="default" w:ascii="黑体" w:hAnsi="黑体" w:eastAsia="黑体"/>
          <w:kern w:val="2"/>
          <w:sz w:val="32"/>
          <w:lang w:val="zh-CN"/>
        </w:rPr>
        <w:tab/>
      </w:r>
    </w:p>
    <w:p w14:paraId="0BC737E9">
      <w:pPr>
        <w:spacing w:line="576" w:lineRule="exact"/>
        <w:ind w:firstLine="64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一般公共预算财政拨款基本支出</w:t>
      </w:r>
      <w:r>
        <w:rPr>
          <w:rFonts w:ascii="仿宋_GB2312" w:hAnsi="仿宋_GB2312" w:eastAsia="仿宋_GB2312"/>
          <w:color w:val="000000"/>
          <w:kern w:val="2"/>
          <w:sz w:val="32"/>
        </w:rPr>
        <w:t>845.88</w:t>
      </w:r>
      <w:r>
        <w:rPr>
          <w:rFonts w:ascii="仿宋_GB2312" w:hAnsi="仿宋_GB2312" w:eastAsia="仿宋_GB2312"/>
          <w:color w:val="000000"/>
          <w:kern w:val="2"/>
          <w:sz w:val="32"/>
          <w:lang w:val="zh-CN"/>
        </w:rPr>
        <w:t>万元，其中：</w:t>
      </w:r>
    </w:p>
    <w:p w14:paraId="293E429D">
      <w:pPr>
        <w:spacing w:line="576" w:lineRule="exact"/>
        <w:ind w:firstLine="643"/>
        <w:jc w:val="both"/>
        <w:rPr>
          <w:rFonts w:hint="default" w:ascii="仿宋_GB2312" w:hAnsi="仿宋_GB2312" w:eastAsia="仿宋_GB2312"/>
          <w:color w:val="000000"/>
          <w:kern w:val="2"/>
          <w:sz w:val="32"/>
          <w:lang w:val="zh-CN"/>
        </w:rPr>
      </w:pPr>
      <w:r>
        <w:rPr>
          <w:rFonts w:ascii="仿宋_GB2312" w:hAnsi="仿宋_GB2312" w:eastAsia="仿宋_GB2312"/>
          <w:b/>
          <w:color w:val="000000"/>
          <w:kern w:val="2"/>
          <w:sz w:val="32"/>
          <w:lang w:val="zh-CN"/>
        </w:rPr>
        <w:t>人员经费</w:t>
      </w:r>
      <w:r>
        <w:rPr>
          <w:rFonts w:ascii="仿宋_GB2312" w:hAnsi="仿宋_GB2312" w:eastAsia="仿宋_GB2312"/>
          <w:color w:val="000000"/>
          <w:kern w:val="2"/>
          <w:sz w:val="32"/>
        </w:rPr>
        <w:t>779.34</w:t>
      </w:r>
      <w:r>
        <w:rPr>
          <w:rFonts w:ascii="仿宋_GB2312" w:hAnsi="仿宋_GB2312" w:eastAsia="仿宋_GB2312"/>
          <w:color w:val="000000"/>
          <w:kern w:val="2"/>
          <w:sz w:val="32"/>
          <w:lang w:val="zh-CN"/>
        </w:rPr>
        <w:t>万元，主要包括：</w:t>
      </w:r>
      <w:r>
        <w:rPr>
          <w:rFonts w:ascii="仿宋" w:hAnsi="仿宋" w:eastAsia="仿宋"/>
          <w:kern w:val="2"/>
          <w:sz w:val="32"/>
        </w:rPr>
        <w:t>基本工资、津贴补贴、奖金、绩效工资、机关事业单位基本养老保险缴费、其他社会保障缴费、其他工资福利支出、退休费、抚恤金、生活补助、医疗费补助、奖励金、住房公积金、其他对个人和家庭的补助支出等</w:t>
      </w:r>
      <w:r>
        <w:rPr>
          <w:rFonts w:ascii="仿宋_GB2312" w:hAnsi="仿宋_GB2312" w:eastAsia="仿宋_GB2312"/>
          <w:color w:val="000000"/>
          <w:kern w:val="2"/>
          <w:sz w:val="32"/>
          <w:lang w:val="zh-CN"/>
        </w:rPr>
        <w:t>。</w:t>
      </w:r>
    </w:p>
    <w:p w14:paraId="254F9F46">
      <w:pPr>
        <w:spacing w:line="576" w:lineRule="exact"/>
        <w:ind w:firstLine="643"/>
        <w:jc w:val="both"/>
        <w:rPr>
          <w:rFonts w:hint="default" w:ascii="仿宋_GB2312" w:hAnsi="仿宋_GB2312" w:eastAsia="仿宋_GB2312"/>
          <w:color w:val="000000"/>
          <w:kern w:val="2"/>
          <w:sz w:val="32"/>
          <w:lang w:val="zh-CN"/>
        </w:rPr>
      </w:pPr>
      <w:r>
        <w:rPr>
          <w:rFonts w:ascii="仿宋_GB2312" w:hAnsi="仿宋_GB2312" w:eastAsia="仿宋_GB2312"/>
          <w:b/>
          <w:color w:val="000000"/>
          <w:kern w:val="2"/>
          <w:sz w:val="32"/>
          <w:lang w:val="zh-CN"/>
        </w:rPr>
        <w:t>公用经费</w:t>
      </w:r>
      <w:r>
        <w:rPr>
          <w:rFonts w:ascii="仿宋_GB2312" w:hAnsi="仿宋_GB2312" w:eastAsia="仿宋_GB2312"/>
          <w:color w:val="000000"/>
          <w:kern w:val="2"/>
          <w:sz w:val="32"/>
        </w:rPr>
        <w:t>66.54</w:t>
      </w:r>
      <w:r>
        <w:rPr>
          <w:rFonts w:ascii="仿宋_GB2312" w:hAnsi="仿宋_GB2312" w:eastAsia="仿宋_GB2312"/>
          <w:color w:val="000000"/>
          <w:kern w:val="2"/>
          <w:sz w:val="32"/>
          <w:lang w:val="zh-CN"/>
        </w:rPr>
        <w:t>万元，主要包括：</w:t>
      </w:r>
      <w:r>
        <w:rPr>
          <w:rFonts w:ascii="仿宋" w:hAnsi="仿宋" w:eastAsia="仿宋"/>
          <w:kern w:val="2"/>
          <w:sz w:val="32"/>
        </w:rPr>
        <w:t>办公费、印刷费、手续费、水费、电费、邮电费、物业管理费、差旅费、维修（护）费、租赁费、会议费、培训费、公务接待费、劳务费、工会经费、福利费、其他交通费、其他商品和服务支出、办公设备购置、专用设备购置、其他资本性支出等</w:t>
      </w:r>
      <w:r>
        <w:rPr>
          <w:rFonts w:ascii="仿宋_GB2312" w:hAnsi="仿宋_GB2312" w:eastAsia="仿宋_GB2312"/>
          <w:color w:val="000000"/>
          <w:kern w:val="2"/>
          <w:sz w:val="32"/>
          <w:lang w:val="zh-CN"/>
        </w:rPr>
        <w:t>。</w:t>
      </w:r>
    </w:p>
    <w:p w14:paraId="3AD0B7ED">
      <w:pPr>
        <w:spacing w:line="576" w:lineRule="exact"/>
        <w:ind w:firstLine="643"/>
        <w:jc w:val="both"/>
        <w:rPr>
          <w:rFonts w:hint="default" w:ascii="黑体" w:hAnsi="黑体" w:eastAsia="黑体"/>
          <w:kern w:val="2"/>
          <w:sz w:val="32"/>
          <w:lang w:val="zh-CN"/>
        </w:rPr>
      </w:pPr>
      <w:r>
        <w:rPr>
          <w:rFonts w:ascii="黑体" w:hAnsi="黑体" w:eastAsia="黑体"/>
          <w:color w:val="000000"/>
          <w:kern w:val="2"/>
          <w:sz w:val="32"/>
          <w:lang w:val="zh-CN"/>
        </w:rPr>
        <w:t>七、</w:t>
      </w:r>
      <w:r>
        <w:rPr>
          <w:rFonts w:ascii="黑体" w:hAnsi="黑体" w:eastAsia="黑体"/>
          <w:b/>
          <w:kern w:val="2"/>
          <w:sz w:val="32"/>
          <w:lang w:val="zh-CN"/>
        </w:rPr>
        <w:t>“</w:t>
      </w:r>
      <w:r>
        <w:rPr>
          <w:rFonts w:ascii="黑体" w:hAnsi="黑体" w:eastAsia="黑体"/>
          <w:kern w:val="2"/>
          <w:sz w:val="32"/>
          <w:lang w:val="zh-CN"/>
        </w:rPr>
        <w:t>三公”经费财政拨款支出决算情况说明</w:t>
      </w:r>
    </w:p>
    <w:p w14:paraId="2B15ED69">
      <w:pPr>
        <w:keepNext/>
        <w:keepLines/>
        <w:spacing w:line="576" w:lineRule="exact"/>
        <w:ind w:firstLine="643"/>
        <w:jc w:val="both"/>
        <w:rPr>
          <w:rFonts w:hint="default" w:ascii="仿宋_GB2312" w:hAnsi="仿宋_GB2312" w:eastAsia="仿宋_GB2312"/>
          <w:b/>
          <w:color w:val="000000"/>
          <w:kern w:val="2"/>
          <w:sz w:val="32"/>
          <w:lang w:val="zh-CN"/>
        </w:rPr>
      </w:pPr>
      <w:r>
        <w:rPr>
          <w:rFonts w:ascii="仿宋_GB2312" w:hAnsi="仿宋_GB2312" w:eastAsia="仿宋_GB2312"/>
          <w:b/>
          <w:color w:val="000000"/>
          <w:kern w:val="2"/>
          <w:sz w:val="32"/>
          <w:lang w:val="zh-CN"/>
        </w:rPr>
        <w:t>（一）“三公”经费财政拨款支出决算总体情况说明</w:t>
      </w:r>
    </w:p>
    <w:p w14:paraId="4BFF20E8">
      <w:pPr>
        <w:keepNext/>
        <w:keepLines/>
        <w:spacing w:line="576" w:lineRule="exact"/>
        <w:ind w:firstLine="64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“三公”经费财政拨款支出决算为0</w:t>
      </w:r>
      <w:r>
        <w:rPr>
          <w:rFonts w:ascii="仿宋_GB2312" w:hAnsi="仿宋_GB2312" w:eastAsia="仿宋_GB2312"/>
          <w:color w:val="000000"/>
          <w:kern w:val="2"/>
          <w:sz w:val="32"/>
        </w:rPr>
        <w:t>.00</w:t>
      </w:r>
      <w:r>
        <w:rPr>
          <w:rFonts w:ascii="仿宋_GB2312" w:hAnsi="仿宋_GB2312" w:eastAsia="仿宋_GB2312"/>
          <w:color w:val="000000"/>
          <w:kern w:val="2"/>
          <w:sz w:val="32"/>
          <w:lang w:val="zh-CN"/>
        </w:rPr>
        <w:t>万元，完成预算</w:t>
      </w:r>
      <w:r>
        <w:rPr>
          <w:rFonts w:ascii="仿宋_GB2312" w:hAnsi="仿宋_GB2312" w:eastAsia="仿宋_GB2312"/>
          <w:color w:val="000000"/>
          <w:kern w:val="2"/>
          <w:sz w:val="32"/>
        </w:rPr>
        <w:t>100</w:t>
      </w:r>
      <w:r>
        <w:rPr>
          <w:rFonts w:ascii="仿宋_GB2312" w:hAnsi="仿宋_GB2312" w:eastAsia="仿宋_GB2312"/>
          <w:color w:val="000000"/>
          <w:kern w:val="2"/>
          <w:sz w:val="32"/>
          <w:lang w:val="zh-CN"/>
        </w:rPr>
        <w:t>%；较上年增加0.</w:t>
      </w:r>
      <w:r>
        <w:rPr>
          <w:rFonts w:ascii="仿宋_GB2312" w:hAnsi="仿宋_GB2312" w:eastAsia="仿宋_GB2312"/>
          <w:color w:val="000000"/>
          <w:kern w:val="2"/>
          <w:sz w:val="32"/>
        </w:rPr>
        <w:t>00</w:t>
      </w:r>
      <w:r>
        <w:rPr>
          <w:rFonts w:ascii="仿宋_GB2312" w:hAnsi="仿宋_GB2312" w:eastAsia="仿宋_GB2312"/>
          <w:color w:val="000000"/>
          <w:kern w:val="2"/>
          <w:sz w:val="32"/>
          <w:lang w:val="zh-CN"/>
        </w:rPr>
        <w:t>万元，增长</w:t>
      </w:r>
      <w:r>
        <w:rPr>
          <w:rFonts w:ascii="仿宋_GB2312" w:hAnsi="仿宋_GB2312" w:eastAsia="仿宋_GB2312"/>
          <w:color w:val="000000"/>
          <w:kern w:val="2"/>
          <w:sz w:val="32"/>
        </w:rPr>
        <w:t>0.00</w:t>
      </w:r>
      <w:r>
        <w:rPr>
          <w:rFonts w:ascii="仿宋_GB2312" w:hAnsi="仿宋_GB2312" w:eastAsia="仿宋_GB2312"/>
          <w:color w:val="000000"/>
          <w:kern w:val="2"/>
          <w:sz w:val="32"/>
          <w:lang w:val="zh-CN"/>
        </w:rPr>
        <w:t>%。决算数小于预算数的主要原因是</w:t>
      </w:r>
      <w:r>
        <w:rPr>
          <w:rFonts w:ascii="仿宋_GB2312" w:eastAsia="仿宋_GB2312"/>
          <w:sz w:val="32"/>
        </w:rPr>
        <w:t>公务接待中厉行节约，不予公务接待</w:t>
      </w:r>
      <w:r>
        <w:rPr>
          <w:rFonts w:ascii="仿宋_GB2312" w:hAnsi="仿宋_GB2312" w:eastAsia="仿宋_GB2312"/>
          <w:color w:val="000000"/>
          <w:kern w:val="2"/>
          <w:sz w:val="32"/>
          <w:lang w:val="zh-CN"/>
        </w:rPr>
        <w:t>。</w:t>
      </w:r>
    </w:p>
    <w:p w14:paraId="6BDF87FC">
      <w:pPr>
        <w:keepNext/>
        <w:keepLines/>
        <w:spacing w:line="576" w:lineRule="exact"/>
        <w:ind w:firstLine="643"/>
        <w:jc w:val="both"/>
        <w:rPr>
          <w:rFonts w:hint="default" w:ascii="仿宋_GB2312" w:hAnsi="仿宋_GB2312" w:eastAsia="仿宋_GB2312"/>
          <w:b/>
          <w:color w:val="000000"/>
          <w:kern w:val="2"/>
          <w:sz w:val="32"/>
          <w:lang w:val="zh-CN"/>
        </w:rPr>
      </w:pPr>
      <w:r>
        <w:rPr>
          <w:rFonts w:ascii="仿宋_GB2312" w:hAnsi="仿宋_GB2312" w:eastAsia="仿宋_GB2312"/>
          <w:b/>
          <w:color w:val="000000"/>
          <w:kern w:val="2"/>
          <w:sz w:val="32"/>
          <w:lang w:val="zh-CN"/>
        </w:rPr>
        <w:t>（二）“三公”经费财政拨款支出决算具体情况说明</w:t>
      </w:r>
    </w:p>
    <w:p w14:paraId="44CA4AFA">
      <w:pPr>
        <w:keepNext/>
        <w:keepLines/>
        <w:spacing w:line="576" w:lineRule="exact"/>
        <w:ind w:firstLine="64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“三公”经费财政拨款支出决算中，公务接待费支出决算0.</w:t>
      </w:r>
      <w:r>
        <w:rPr>
          <w:rFonts w:ascii="仿宋_GB2312" w:hAnsi="仿宋_GB2312" w:eastAsia="仿宋_GB2312"/>
          <w:color w:val="000000"/>
          <w:kern w:val="2"/>
          <w:sz w:val="32"/>
        </w:rPr>
        <w:t>00</w:t>
      </w:r>
      <w:r>
        <w:rPr>
          <w:rFonts w:ascii="仿宋_GB2312" w:hAnsi="仿宋_GB2312" w:eastAsia="仿宋_GB2312"/>
          <w:color w:val="000000"/>
          <w:kern w:val="2"/>
          <w:sz w:val="32"/>
          <w:lang w:val="zh-CN"/>
        </w:rPr>
        <w:t>万元，占100%。具体情况如下：</w:t>
      </w:r>
    </w:p>
    <w:p w14:paraId="7371CBAF">
      <w:pPr>
        <w:keepNext/>
        <w:keepLines/>
        <w:ind w:firstLine="640"/>
        <w:jc w:val="both"/>
        <w:rPr>
          <w:rFonts w:hint="default" w:ascii="仿宋_GB2312" w:hAnsi="仿宋_GB2312" w:eastAsia="仿宋_GB2312"/>
          <w:color w:val="000000"/>
          <w:kern w:val="2"/>
          <w:sz w:val="32"/>
          <w:lang w:val="zh-CN"/>
        </w:rPr>
      </w:pPr>
      <w:r>
        <w:drawing>
          <wp:inline distT="0" distB="0" distL="114300" distR="114300">
            <wp:extent cx="4648200" cy="1019175"/>
            <wp:effectExtent l="4445" t="4445" r="1460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72B8B8">
      <w:pPr>
        <w:keepNext/>
        <w:keepLines/>
        <w:spacing w:line="576" w:lineRule="exact"/>
        <w:ind w:firstLine="643"/>
        <w:jc w:val="both"/>
        <w:rPr>
          <w:rFonts w:hint="default" w:ascii="仿宋_GB2312" w:hAnsi="仿宋_GB2312" w:eastAsia="仿宋_GB2312"/>
          <w:color w:val="000000"/>
          <w:kern w:val="2"/>
          <w:sz w:val="32"/>
          <w:lang w:val="zh-CN"/>
        </w:rPr>
      </w:pPr>
      <w:r>
        <w:rPr>
          <w:rFonts w:ascii="仿宋_GB2312" w:hAnsi="仿宋_GB2312" w:eastAsia="仿宋_GB2312"/>
          <w:b/>
          <w:color w:val="000000"/>
          <w:kern w:val="2"/>
          <w:sz w:val="32"/>
          <w:lang w:val="zh-CN"/>
        </w:rPr>
        <w:t>公务接待费</w:t>
      </w:r>
      <w:r>
        <w:rPr>
          <w:rFonts w:ascii="仿宋_GB2312" w:hAnsi="仿宋_GB2312" w:eastAsia="仿宋_GB2312"/>
          <w:color w:val="000000"/>
          <w:kern w:val="2"/>
          <w:sz w:val="32"/>
          <w:lang w:val="zh-CN"/>
        </w:rPr>
        <w:t>支出0.</w:t>
      </w:r>
      <w:r>
        <w:rPr>
          <w:rFonts w:ascii="仿宋_GB2312" w:hAnsi="仿宋_GB2312" w:eastAsia="仿宋_GB2312"/>
          <w:color w:val="000000"/>
          <w:kern w:val="2"/>
          <w:sz w:val="32"/>
        </w:rPr>
        <w:t>00</w:t>
      </w:r>
      <w:r>
        <w:rPr>
          <w:rFonts w:ascii="仿宋_GB2312" w:hAnsi="仿宋_GB2312" w:eastAsia="仿宋_GB2312"/>
          <w:color w:val="000000"/>
          <w:kern w:val="2"/>
          <w:sz w:val="32"/>
          <w:lang w:val="zh-CN"/>
        </w:rPr>
        <w:t>万元，完成预算</w:t>
      </w:r>
      <w:r>
        <w:rPr>
          <w:rFonts w:ascii="仿宋_GB2312" w:hAnsi="仿宋_GB2312" w:eastAsia="仿宋_GB2312"/>
          <w:color w:val="000000"/>
          <w:kern w:val="2"/>
          <w:sz w:val="32"/>
        </w:rPr>
        <w:t>100</w:t>
      </w:r>
      <w:r>
        <w:rPr>
          <w:rFonts w:ascii="仿宋_GB2312" w:hAnsi="仿宋_GB2312" w:eastAsia="仿宋_GB2312"/>
          <w:color w:val="000000"/>
          <w:kern w:val="2"/>
          <w:sz w:val="32"/>
          <w:lang w:val="zh-CN"/>
        </w:rPr>
        <w:t>%。公务接待费支出决算比202</w:t>
      </w:r>
      <w:r>
        <w:rPr>
          <w:rFonts w:ascii="仿宋_GB2312" w:hAnsi="仿宋_GB2312" w:eastAsia="仿宋_GB2312"/>
          <w:color w:val="000000"/>
          <w:kern w:val="2"/>
          <w:sz w:val="32"/>
        </w:rPr>
        <w:t>2</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减少0.16</w:t>
      </w:r>
      <w:r>
        <w:rPr>
          <w:rFonts w:ascii="仿宋_GB2312" w:hAnsi="仿宋_GB2312" w:eastAsia="仿宋_GB2312"/>
          <w:color w:val="000000"/>
          <w:kern w:val="2"/>
          <w:sz w:val="32"/>
          <w:lang w:val="zh-CN"/>
        </w:rPr>
        <w:t>万元。主要原因是</w:t>
      </w:r>
      <w:r>
        <w:rPr>
          <w:rFonts w:ascii="仿宋_GB2312" w:eastAsia="仿宋_GB2312"/>
          <w:sz w:val="32"/>
        </w:rPr>
        <w:t>公务接待中厉行节约，不予公务接待</w:t>
      </w:r>
      <w:r>
        <w:rPr>
          <w:rFonts w:ascii="仿宋_GB2312" w:hAnsi="仿宋_GB2312" w:eastAsia="仿宋_GB2312"/>
          <w:color w:val="000000"/>
          <w:kern w:val="2"/>
          <w:sz w:val="32"/>
          <w:lang w:val="zh-CN"/>
        </w:rPr>
        <w:t>。</w:t>
      </w:r>
    </w:p>
    <w:p w14:paraId="5468667E">
      <w:pPr>
        <w:keepNext/>
        <w:keepLines/>
        <w:spacing w:line="576" w:lineRule="exact"/>
        <w:ind w:firstLine="643"/>
        <w:jc w:val="both"/>
        <w:rPr>
          <w:rFonts w:hint="default" w:ascii="仿宋_GB2312" w:hAnsi="仿宋_GB2312" w:eastAsia="仿宋_GB2312"/>
          <w:color w:val="000000"/>
          <w:kern w:val="2"/>
          <w:sz w:val="32"/>
        </w:rPr>
      </w:pPr>
      <w:r>
        <w:rPr>
          <w:rFonts w:ascii="仿宋_GB2312" w:hAnsi="仿宋_GB2312" w:eastAsia="仿宋_GB2312"/>
          <w:b/>
          <w:color w:val="000000"/>
          <w:kern w:val="2"/>
          <w:sz w:val="32"/>
          <w:lang w:val="zh-CN"/>
        </w:rPr>
        <w:t>国内公务接待</w:t>
      </w:r>
      <w:r>
        <w:rPr>
          <w:rFonts w:ascii="仿宋_GB2312" w:hAnsi="仿宋_GB2312" w:eastAsia="仿宋_GB2312"/>
          <w:color w:val="000000"/>
          <w:kern w:val="2"/>
          <w:sz w:val="32"/>
          <w:lang w:val="zh-CN"/>
        </w:rPr>
        <w:t>支出0.</w:t>
      </w:r>
      <w:r>
        <w:rPr>
          <w:rFonts w:ascii="仿宋_GB2312" w:hAnsi="仿宋_GB2312" w:eastAsia="仿宋_GB2312"/>
          <w:color w:val="000000"/>
          <w:kern w:val="2"/>
          <w:sz w:val="32"/>
        </w:rPr>
        <w:t>00</w:t>
      </w:r>
      <w:r>
        <w:rPr>
          <w:rFonts w:ascii="仿宋_GB2312" w:hAnsi="仿宋_GB2312" w:eastAsia="仿宋_GB2312"/>
          <w:color w:val="000000"/>
          <w:kern w:val="2"/>
          <w:sz w:val="32"/>
          <w:lang w:val="zh-CN"/>
        </w:rPr>
        <w:t>万元。</w:t>
      </w:r>
    </w:p>
    <w:p w14:paraId="591F1CBA">
      <w:pPr>
        <w:keepNext/>
        <w:keepLines/>
        <w:spacing w:line="576" w:lineRule="exact"/>
        <w:ind w:firstLine="640"/>
        <w:jc w:val="both"/>
        <w:rPr>
          <w:rFonts w:hint="default" w:ascii="黑体" w:hAnsi="黑体" w:eastAsia="黑体"/>
          <w:b/>
          <w:kern w:val="2"/>
          <w:sz w:val="32"/>
          <w:lang w:val="zh-CN"/>
        </w:rPr>
      </w:pPr>
      <w:r>
        <w:rPr>
          <w:rFonts w:ascii="黑体" w:hAnsi="黑体" w:eastAsia="黑体"/>
          <w:color w:val="000000"/>
          <w:kern w:val="2"/>
          <w:sz w:val="32"/>
          <w:lang w:val="zh-CN"/>
        </w:rPr>
        <w:t>八、</w:t>
      </w:r>
      <w:r>
        <w:rPr>
          <w:rFonts w:ascii="黑体" w:hAnsi="黑体" w:eastAsia="黑体"/>
          <w:kern w:val="2"/>
          <w:sz w:val="32"/>
          <w:lang w:val="zh-CN"/>
        </w:rPr>
        <w:t>政府性基金预算支出决算情况说明</w:t>
      </w:r>
    </w:p>
    <w:p w14:paraId="454880DD">
      <w:pPr>
        <w:spacing w:line="576" w:lineRule="exact"/>
        <w:ind w:firstLine="64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政府性基金预算拨款支出</w:t>
      </w:r>
      <w:r>
        <w:rPr>
          <w:rFonts w:hint="default" w:ascii="仿宋_GB2312" w:hAnsi="仿宋_GB2312" w:eastAsia="仿宋_GB2312"/>
          <w:color w:val="000000"/>
          <w:kern w:val="2"/>
          <w:sz w:val="32"/>
          <w:lang w:val="zh-CN"/>
        </w:rPr>
        <w:t>0</w:t>
      </w:r>
      <w:r>
        <w:rPr>
          <w:rFonts w:ascii="仿宋_GB2312" w:hAnsi="仿宋_GB2312" w:eastAsia="仿宋_GB2312"/>
          <w:color w:val="000000"/>
          <w:kern w:val="2"/>
          <w:sz w:val="32"/>
          <w:lang w:val="zh-CN"/>
        </w:rPr>
        <w:t>万元。</w:t>
      </w:r>
    </w:p>
    <w:p w14:paraId="33FF98EC">
      <w:pPr>
        <w:keepNext/>
        <w:keepLines/>
        <w:spacing w:line="576" w:lineRule="exact"/>
        <w:ind w:firstLine="640"/>
        <w:jc w:val="both"/>
        <w:rPr>
          <w:rFonts w:hint="default" w:ascii="黑体" w:hAnsi="黑体" w:eastAsia="黑体"/>
          <w:kern w:val="2"/>
          <w:sz w:val="32"/>
          <w:lang w:val="zh-CN"/>
        </w:rPr>
      </w:pPr>
      <w:r>
        <w:rPr>
          <w:rFonts w:ascii="黑体" w:hAnsi="黑体" w:eastAsia="黑体"/>
          <w:kern w:val="2"/>
          <w:sz w:val="32"/>
          <w:lang w:val="zh-CN"/>
        </w:rPr>
        <w:t>九、国有资本经营预算支出决算情况说明</w:t>
      </w:r>
    </w:p>
    <w:p w14:paraId="0B6BEBB5">
      <w:pPr>
        <w:spacing w:line="576" w:lineRule="exact"/>
        <w:ind w:firstLine="640"/>
        <w:jc w:val="both"/>
        <w:rPr>
          <w:rFonts w:hint="default" w:ascii="仿宋_GB2312" w:hAnsi="仿宋_GB2312" w:eastAsia="仿宋_GB2312"/>
          <w:color w:val="000000"/>
          <w:kern w:val="2"/>
          <w:sz w:val="32"/>
          <w:lang w:val="zh-CN"/>
        </w:rPr>
      </w:pPr>
      <w:r>
        <w:rPr>
          <w:rFonts w:ascii="仿宋_GB2312" w:hAnsi="仿宋_GB2312" w:eastAsia="仿宋_GB2312"/>
          <w:color w:val="000000"/>
          <w:kern w:val="2"/>
          <w:sz w:val="32"/>
          <w:lang w:val="zh-CN"/>
        </w:rPr>
        <w:t>202</w:t>
      </w:r>
      <w:r>
        <w:rPr>
          <w:rFonts w:ascii="仿宋_GB2312" w:hAnsi="仿宋_GB2312" w:eastAsia="仿宋_GB2312"/>
          <w:color w:val="000000"/>
          <w:kern w:val="2"/>
          <w:sz w:val="32"/>
        </w:rPr>
        <w:t>3</w:t>
      </w:r>
      <w:r>
        <w:rPr>
          <w:rFonts w:ascii="仿宋_GB2312" w:hAnsi="仿宋_GB2312" w:eastAsia="仿宋_GB2312"/>
          <w:color w:val="000000"/>
          <w:kern w:val="2"/>
          <w:sz w:val="32"/>
          <w:lang w:val="zh-CN"/>
        </w:rPr>
        <w:t>年</w:t>
      </w:r>
      <w:r>
        <w:rPr>
          <w:rFonts w:ascii="仿宋_GB2312" w:hAnsi="仿宋_GB2312" w:eastAsia="仿宋_GB2312"/>
          <w:color w:val="000000"/>
          <w:kern w:val="2"/>
          <w:sz w:val="32"/>
        </w:rPr>
        <w:t>度</w:t>
      </w:r>
      <w:r>
        <w:rPr>
          <w:rFonts w:ascii="仿宋_GB2312" w:hAnsi="仿宋_GB2312" w:eastAsia="仿宋_GB2312"/>
          <w:color w:val="000000"/>
          <w:kern w:val="2"/>
          <w:sz w:val="32"/>
          <w:lang w:val="zh-CN"/>
        </w:rPr>
        <w:t>国有资本经营预算拨款支出</w:t>
      </w:r>
      <w:r>
        <w:rPr>
          <w:rFonts w:hint="default" w:ascii="仿宋_GB2312" w:hAnsi="仿宋_GB2312" w:eastAsia="仿宋_GB2312"/>
          <w:color w:val="000000"/>
          <w:kern w:val="2"/>
          <w:sz w:val="32"/>
          <w:lang w:val="zh-CN"/>
        </w:rPr>
        <w:t>0</w:t>
      </w:r>
      <w:r>
        <w:rPr>
          <w:rFonts w:ascii="仿宋_GB2312" w:hAnsi="仿宋_GB2312" w:eastAsia="仿宋_GB2312"/>
          <w:color w:val="000000"/>
          <w:kern w:val="2"/>
          <w:sz w:val="32"/>
          <w:lang w:val="zh-CN"/>
        </w:rPr>
        <w:t>万元。</w:t>
      </w:r>
    </w:p>
    <w:p w14:paraId="72D01B90">
      <w:pPr>
        <w:numPr>
          <w:ilvl w:val="0"/>
          <w:numId w:val="4"/>
        </w:numPr>
        <w:spacing w:line="576" w:lineRule="exact"/>
        <w:ind w:firstLine="640"/>
        <w:jc w:val="both"/>
        <w:rPr>
          <w:rFonts w:hint="default" w:ascii="黑体" w:hAnsi="黑体" w:eastAsia="黑体"/>
          <w:kern w:val="2"/>
          <w:sz w:val="32"/>
          <w:lang w:val="zh-CN"/>
        </w:rPr>
      </w:pPr>
      <w:r>
        <w:rPr>
          <w:rFonts w:ascii="黑体" w:hAnsi="黑体" w:eastAsia="黑体"/>
          <w:kern w:val="2"/>
          <w:sz w:val="32"/>
          <w:lang w:val="zh-CN"/>
        </w:rPr>
        <w:t>其他重要事项的情况说明</w:t>
      </w:r>
    </w:p>
    <w:p w14:paraId="63AA34F8">
      <w:pPr>
        <w:keepNext/>
        <w:keepLines/>
        <w:spacing w:line="576" w:lineRule="exact"/>
        <w:ind w:firstLine="643"/>
        <w:jc w:val="both"/>
        <w:rPr>
          <w:rFonts w:hint="default" w:ascii="仿宋" w:hAnsi="仿宋" w:eastAsia="仿宋" w:cs="仿宋_GB2312"/>
          <w:b/>
          <w:color w:val="000000"/>
          <w:kern w:val="2"/>
          <w:sz w:val="32"/>
          <w:szCs w:val="32"/>
          <w:lang w:val="zh-CN"/>
        </w:rPr>
      </w:pPr>
      <w:r>
        <w:rPr>
          <w:rFonts w:ascii="仿宋" w:hAnsi="仿宋" w:eastAsia="仿宋" w:cs="仿宋_GB2312"/>
          <w:b/>
          <w:color w:val="000000"/>
          <w:kern w:val="2"/>
          <w:sz w:val="32"/>
          <w:szCs w:val="32"/>
          <w:lang w:val="zh-CN"/>
        </w:rPr>
        <w:t>（一）机关运行经费支出情况</w:t>
      </w:r>
    </w:p>
    <w:p w14:paraId="738B6333">
      <w:pPr>
        <w:spacing w:line="576" w:lineRule="exact"/>
        <w:ind w:firstLine="640"/>
        <w:jc w:val="both"/>
        <w:rPr>
          <w:rFonts w:hint="default" w:ascii="仿宋" w:hAnsi="仿宋" w:eastAsia="仿宋" w:cs="仿宋_GB2312"/>
          <w:color w:val="000000"/>
          <w:kern w:val="2"/>
          <w:sz w:val="32"/>
          <w:szCs w:val="32"/>
          <w:lang w:val="zh-CN"/>
        </w:rPr>
      </w:pPr>
      <w:r>
        <w:rPr>
          <w:rFonts w:ascii="仿宋" w:hAnsi="仿宋" w:eastAsia="仿宋" w:cs="仿宋_GB2312"/>
          <w:color w:val="000000"/>
          <w:kern w:val="2"/>
          <w:sz w:val="32"/>
          <w:szCs w:val="32"/>
          <w:lang w:val="zh-CN"/>
        </w:rPr>
        <w:t>2023年</w:t>
      </w:r>
      <w:r>
        <w:rPr>
          <w:rFonts w:ascii="仿宋" w:hAnsi="仿宋" w:eastAsia="仿宋" w:cs="仿宋_GB2312"/>
          <w:color w:val="000000"/>
          <w:kern w:val="2"/>
          <w:sz w:val="32"/>
          <w:szCs w:val="32"/>
        </w:rPr>
        <w:t>度</w:t>
      </w:r>
      <w:r>
        <w:rPr>
          <w:rFonts w:ascii="仿宋" w:hAnsi="仿宋" w:eastAsia="仿宋" w:cs="仿宋_GB2312"/>
          <w:color w:val="000000"/>
          <w:kern w:val="2"/>
          <w:sz w:val="32"/>
          <w:szCs w:val="32"/>
          <w:lang w:val="zh-CN"/>
        </w:rPr>
        <w:t>，射洪市</w:t>
      </w:r>
      <w:r>
        <w:rPr>
          <w:rFonts w:ascii="仿宋" w:hAnsi="仿宋" w:eastAsia="仿宋" w:cs="仿宋_GB2312"/>
          <w:color w:val="000000"/>
          <w:kern w:val="2"/>
          <w:sz w:val="32"/>
          <w:szCs w:val="32"/>
        </w:rPr>
        <w:t>仁和</w:t>
      </w:r>
      <w:r>
        <w:rPr>
          <w:rFonts w:ascii="仿宋" w:hAnsi="仿宋" w:eastAsia="仿宋" w:cs="仿宋_GB2312"/>
          <w:color w:val="000000"/>
          <w:kern w:val="2"/>
          <w:sz w:val="32"/>
          <w:szCs w:val="32"/>
          <w:lang w:val="zh-CN"/>
        </w:rPr>
        <w:t>镇初级中学校机关运行经费支出</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万元，比2022年减少</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万元，下降-100%。主要原因是事业单位无机关运行经费。</w:t>
      </w:r>
    </w:p>
    <w:p w14:paraId="0D6C050B">
      <w:pPr>
        <w:keepNext/>
        <w:keepLines/>
        <w:spacing w:line="576" w:lineRule="exact"/>
        <w:ind w:firstLine="643"/>
        <w:jc w:val="both"/>
        <w:rPr>
          <w:rFonts w:hint="default" w:ascii="仿宋" w:hAnsi="仿宋" w:eastAsia="仿宋" w:cs="仿宋_GB2312"/>
          <w:b/>
          <w:color w:val="000000"/>
          <w:kern w:val="2"/>
          <w:sz w:val="32"/>
          <w:szCs w:val="32"/>
          <w:lang w:val="zh-CN"/>
        </w:rPr>
      </w:pPr>
      <w:r>
        <w:rPr>
          <w:rFonts w:ascii="仿宋" w:hAnsi="仿宋" w:eastAsia="仿宋" w:cs="仿宋_GB2312"/>
          <w:b/>
          <w:color w:val="000000"/>
          <w:kern w:val="2"/>
          <w:sz w:val="32"/>
          <w:szCs w:val="32"/>
          <w:lang w:val="zh-CN"/>
        </w:rPr>
        <w:t>（二）政府采购支出情况</w:t>
      </w:r>
    </w:p>
    <w:p w14:paraId="2708B108">
      <w:pPr>
        <w:spacing w:line="576" w:lineRule="exact"/>
        <w:ind w:firstLine="640"/>
        <w:jc w:val="both"/>
        <w:rPr>
          <w:rFonts w:hint="default" w:ascii="仿宋" w:hAnsi="仿宋" w:eastAsia="仿宋" w:cs="仿宋_GB2312"/>
          <w:color w:val="000000"/>
          <w:kern w:val="2"/>
          <w:sz w:val="32"/>
          <w:szCs w:val="32"/>
          <w:lang w:val="zh-CN"/>
        </w:rPr>
      </w:pPr>
      <w:r>
        <w:rPr>
          <w:rFonts w:ascii="仿宋" w:hAnsi="仿宋" w:eastAsia="仿宋" w:cs="仿宋_GB2312"/>
          <w:color w:val="000000"/>
          <w:kern w:val="2"/>
          <w:sz w:val="32"/>
          <w:szCs w:val="32"/>
          <w:lang w:val="zh-CN"/>
        </w:rPr>
        <w:t>2023年</w:t>
      </w:r>
      <w:r>
        <w:rPr>
          <w:rFonts w:ascii="仿宋" w:hAnsi="仿宋" w:eastAsia="仿宋" w:cs="仿宋_GB2312"/>
          <w:color w:val="000000"/>
          <w:kern w:val="2"/>
          <w:sz w:val="32"/>
          <w:szCs w:val="32"/>
        </w:rPr>
        <w:t>度</w:t>
      </w:r>
      <w:r>
        <w:rPr>
          <w:rFonts w:ascii="仿宋" w:hAnsi="仿宋" w:eastAsia="仿宋" w:cs="仿宋_GB2312"/>
          <w:color w:val="000000"/>
          <w:kern w:val="2"/>
          <w:sz w:val="32"/>
          <w:szCs w:val="32"/>
          <w:lang w:val="zh-CN"/>
        </w:rPr>
        <w:t>，射洪市</w:t>
      </w:r>
      <w:r>
        <w:rPr>
          <w:rFonts w:ascii="仿宋" w:hAnsi="仿宋" w:eastAsia="仿宋" w:cs="仿宋_GB2312"/>
          <w:color w:val="000000"/>
          <w:kern w:val="2"/>
          <w:sz w:val="32"/>
          <w:szCs w:val="32"/>
        </w:rPr>
        <w:t>仁和</w:t>
      </w:r>
      <w:r>
        <w:rPr>
          <w:rFonts w:ascii="仿宋" w:hAnsi="仿宋" w:eastAsia="仿宋" w:cs="仿宋_GB2312"/>
          <w:color w:val="000000"/>
          <w:kern w:val="2"/>
          <w:sz w:val="32"/>
          <w:szCs w:val="32"/>
          <w:lang w:val="zh-CN"/>
        </w:rPr>
        <w:t>镇初级中学校政府采购支出总额</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万元，其中：政府采购货物支出</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万元、政府采购工程支出</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万元、政府采购服务支出</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万元。授予中小企业合同金额</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万元，占政府采购支出总额的0%，其中：授予小微企业合同金额</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万元，</w:t>
      </w:r>
      <w:r>
        <w:rPr>
          <w:rFonts w:ascii="仿宋" w:hAnsi="仿宋" w:eastAsia="仿宋" w:cs="仿宋_GB2312"/>
          <w:kern w:val="2"/>
          <w:sz w:val="32"/>
          <w:szCs w:val="32"/>
        </w:rPr>
        <w:t>占政府采购支出总额的</w:t>
      </w:r>
      <w:r>
        <w:rPr>
          <w:rFonts w:ascii="仿宋" w:hAnsi="仿宋" w:eastAsia="仿宋" w:cs="仿宋_GB2312"/>
          <w:color w:val="000000"/>
          <w:kern w:val="2"/>
          <w:sz w:val="32"/>
          <w:szCs w:val="32"/>
          <w:lang w:val="zh-CN"/>
        </w:rPr>
        <w:t>0%。</w:t>
      </w:r>
    </w:p>
    <w:p w14:paraId="08B8EB2C">
      <w:pPr>
        <w:keepNext/>
        <w:keepLines/>
        <w:spacing w:line="576" w:lineRule="exact"/>
        <w:ind w:firstLine="643"/>
        <w:jc w:val="both"/>
        <w:rPr>
          <w:rFonts w:hint="default" w:ascii="仿宋" w:hAnsi="仿宋" w:eastAsia="仿宋" w:cs="仿宋_GB2312"/>
          <w:b/>
          <w:color w:val="000000"/>
          <w:kern w:val="2"/>
          <w:sz w:val="32"/>
          <w:szCs w:val="32"/>
          <w:lang w:val="zh-CN"/>
        </w:rPr>
      </w:pPr>
      <w:r>
        <w:rPr>
          <w:rFonts w:ascii="仿宋" w:hAnsi="仿宋" w:eastAsia="仿宋" w:cs="仿宋_GB2312"/>
          <w:b/>
          <w:color w:val="000000"/>
          <w:kern w:val="2"/>
          <w:sz w:val="32"/>
          <w:szCs w:val="32"/>
          <w:lang w:val="zh-CN"/>
        </w:rPr>
        <w:t>（三）国有资产占有使用情况</w:t>
      </w:r>
    </w:p>
    <w:p w14:paraId="0F9E09D2">
      <w:pPr>
        <w:spacing w:line="576" w:lineRule="exact"/>
        <w:ind w:firstLine="640"/>
        <w:rPr>
          <w:rFonts w:hint="default" w:ascii="仿宋" w:hAnsi="仿宋" w:eastAsia="仿宋" w:cs="仿宋_GB2312"/>
          <w:color w:val="000000"/>
          <w:kern w:val="2"/>
          <w:sz w:val="32"/>
          <w:szCs w:val="32"/>
          <w:lang w:val="zh-CN"/>
        </w:rPr>
      </w:pPr>
      <w:r>
        <w:rPr>
          <w:rFonts w:ascii="仿宋" w:hAnsi="仿宋" w:eastAsia="仿宋" w:cs="仿宋_GB2312"/>
          <w:color w:val="000000"/>
          <w:kern w:val="2"/>
          <w:sz w:val="32"/>
          <w:szCs w:val="32"/>
          <w:lang w:val="zh-CN"/>
        </w:rPr>
        <w:t>截至2023年12月31日，射洪市</w:t>
      </w:r>
      <w:r>
        <w:rPr>
          <w:rFonts w:ascii="仿宋" w:hAnsi="仿宋" w:eastAsia="仿宋" w:cs="仿宋_GB2312"/>
          <w:color w:val="000000"/>
          <w:kern w:val="2"/>
          <w:sz w:val="32"/>
          <w:szCs w:val="32"/>
        </w:rPr>
        <w:t>仁和</w:t>
      </w:r>
      <w:r>
        <w:rPr>
          <w:rFonts w:ascii="仿宋" w:hAnsi="仿宋" w:eastAsia="仿宋" w:cs="仿宋_GB2312"/>
          <w:color w:val="000000"/>
          <w:kern w:val="2"/>
          <w:sz w:val="32"/>
          <w:szCs w:val="32"/>
          <w:lang w:val="zh-CN"/>
        </w:rPr>
        <w:t>镇初级中学校共有车辆</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辆，其中：副部（省）级及以上领导用车</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辆、主要领导干部用车</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辆、机要通信用车</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辆、应急保障用车</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辆、执法执勤用车</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辆、特种专业技术用车</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辆、离退休干部用车</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辆、其他用车</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辆。单价100万元（含）以上设备</w:t>
      </w:r>
      <w:r>
        <w:rPr>
          <w:rFonts w:hint="default" w:ascii="仿宋" w:hAnsi="仿宋" w:eastAsia="仿宋" w:cs="仿宋_GB2312"/>
          <w:color w:val="000000"/>
          <w:kern w:val="2"/>
          <w:sz w:val="32"/>
          <w:szCs w:val="32"/>
          <w:lang w:val="zh-CN"/>
        </w:rPr>
        <w:t>0</w:t>
      </w:r>
      <w:r>
        <w:rPr>
          <w:rFonts w:ascii="仿宋" w:hAnsi="仿宋" w:eastAsia="仿宋" w:cs="仿宋_GB2312"/>
          <w:color w:val="000000"/>
          <w:kern w:val="2"/>
          <w:sz w:val="32"/>
          <w:szCs w:val="32"/>
          <w:lang w:val="zh-CN"/>
        </w:rPr>
        <w:t>台（套</w:t>
      </w:r>
      <w:r>
        <w:rPr>
          <w:rFonts w:hint="eastAsia" w:ascii="仿宋" w:hAnsi="仿宋" w:eastAsia="仿宋" w:cs="仿宋_GB2312"/>
          <w:color w:val="000000"/>
          <w:kern w:val="2"/>
          <w:sz w:val="32"/>
          <w:szCs w:val="32"/>
          <w:lang w:val="zh-CN"/>
        </w:rPr>
        <w:t>）</w:t>
      </w:r>
      <w:r>
        <w:rPr>
          <w:rFonts w:ascii="仿宋" w:hAnsi="仿宋" w:eastAsia="仿宋" w:cs="仿宋_GB2312"/>
          <w:color w:val="000000"/>
          <w:kern w:val="2"/>
          <w:sz w:val="32"/>
          <w:szCs w:val="32"/>
          <w:lang w:val="zh-CN"/>
        </w:rPr>
        <w:t>。</w:t>
      </w:r>
    </w:p>
    <w:p w14:paraId="6D1D9A61">
      <w:pPr>
        <w:numPr>
          <w:ilvl w:val="0"/>
          <w:numId w:val="3"/>
        </w:numPr>
        <w:spacing w:line="576" w:lineRule="exact"/>
        <w:ind w:firstLine="643"/>
        <w:rPr>
          <w:rFonts w:hint="default" w:ascii="仿宋" w:hAnsi="仿宋" w:eastAsia="仿宋" w:cs="仿宋_GB2312"/>
          <w:b/>
          <w:kern w:val="2"/>
          <w:sz w:val="32"/>
          <w:szCs w:val="32"/>
          <w:lang w:val="zh-CN"/>
        </w:rPr>
      </w:pPr>
      <w:r>
        <w:rPr>
          <w:rFonts w:ascii="仿宋" w:hAnsi="仿宋" w:eastAsia="仿宋" w:cs="仿宋_GB2312"/>
          <w:b/>
          <w:kern w:val="2"/>
          <w:sz w:val="32"/>
          <w:szCs w:val="32"/>
          <w:lang w:val="zh-CN"/>
        </w:rPr>
        <w:t>预算绩效管理情况</w:t>
      </w:r>
    </w:p>
    <w:p w14:paraId="16598221">
      <w:pPr>
        <w:spacing w:line="576" w:lineRule="exact"/>
        <w:ind w:firstLine="640"/>
        <w:rPr>
          <w:rFonts w:hint="default" w:ascii="仿宋" w:hAnsi="仿宋" w:eastAsia="仿宋" w:cs="仿宋_GB2312"/>
          <w:color w:val="000000"/>
          <w:kern w:val="2"/>
          <w:sz w:val="32"/>
          <w:szCs w:val="32"/>
          <w:lang w:val="zh-CN"/>
        </w:rPr>
      </w:pPr>
      <w:r>
        <w:rPr>
          <w:rFonts w:ascii="仿宋" w:hAnsi="仿宋" w:eastAsia="仿宋" w:cs="仿宋_GB2312"/>
          <w:color w:val="000000"/>
          <w:kern w:val="2"/>
          <w:sz w:val="32"/>
          <w:szCs w:val="32"/>
          <w:lang w:val="zh-CN"/>
        </w:rPr>
        <w:t>根据预算绩效管理要求，本单位在2023年度预算编制阶段，组织对</w:t>
      </w:r>
      <w:r>
        <w:rPr>
          <w:rFonts w:ascii="仿宋" w:hAnsi="仿宋" w:eastAsia="仿宋" w:cs="仿宋_GB2312"/>
          <w:color w:val="000000"/>
          <w:kern w:val="2"/>
          <w:sz w:val="32"/>
          <w:szCs w:val="32"/>
        </w:rPr>
        <w:t>乡村振兴</w:t>
      </w:r>
      <w:r>
        <w:rPr>
          <w:rFonts w:ascii="仿宋" w:hAnsi="仿宋" w:eastAsia="仿宋" w:cs="仿宋_GB2312"/>
          <w:color w:val="000000"/>
          <w:kern w:val="2"/>
          <w:sz w:val="32"/>
          <w:szCs w:val="32"/>
          <w:lang w:val="zh-CN"/>
        </w:rPr>
        <w:t>等</w:t>
      </w:r>
      <w:r>
        <w:rPr>
          <w:rFonts w:ascii="仿宋" w:hAnsi="仿宋" w:eastAsia="仿宋" w:cs="仿宋_GB2312"/>
          <w:color w:val="000000"/>
          <w:kern w:val="2"/>
          <w:sz w:val="32"/>
          <w:szCs w:val="32"/>
        </w:rPr>
        <w:t>3</w:t>
      </w:r>
      <w:r>
        <w:rPr>
          <w:rFonts w:ascii="仿宋" w:hAnsi="仿宋" w:eastAsia="仿宋" w:cs="仿宋_GB2312"/>
          <w:color w:val="000000"/>
          <w:kern w:val="2"/>
          <w:sz w:val="32"/>
          <w:szCs w:val="32"/>
          <w:lang w:val="zh-CN"/>
        </w:rPr>
        <w:t>个项目开展了预算事前绩效评估，对</w:t>
      </w:r>
      <w:r>
        <w:rPr>
          <w:rFonts w:ascii="仿宋" w:hAnsi="仿宋" w:eastAsia="仿宋" w:cs="仿宋_GB2312"/>
          <w:color w:val="000000"/>
          <w:kern w:val="2"/>
          <w:sz w:val="32"/>
          <w:szCs w:val="32"/>
        </w:rPr>
        <w:t>3</w:t>
      </w:r>
      <w:r>
        <w:rPr>
          <w:rFonts w:ascii="仿宋" w:hAnsi="仿宋" w:eastAsia="仿宋" w:cs="仿宋_GB2312"/>
          <w:color w:val="000000"/>
          <w:kern w:val="2"/>
          <w:sz w:val="32"/>
          <w:szCs w:val="32"/>
          <w:lang w:val="zh-CN"/>
        </w:rPr>
        <w:t>个项目编制了绩效目标，预算执行过程中，选取</w:t>
      </w:r>
      <w:r>
        <w:rPr>
          <w:rFonts w:ascii="仿宋" w:hAnsi="仿宋" w:eastAsia="仿宋" w:cs="仿宋_GB2312"/>
          <w:color w:val="000000"/>
          <w:kern w:val="2"/>
          <w:sz w:val="32"/>
          <w:szCs w:val="32"/>
        </w:rPr>
        <w:t>3</w:t>
      </w:r>
      <w:r>
        <w:rPr>
          <w:rFonts w:ascii="仿宋" w:hAnsi="仿宋" w:eastAsia="仿宋" w:cs="仿宋_GB2312"/>
          <w:color w:val="000000"/>
          <w:kern w:val="2"/>
          <w:sz w:val="32"/>
          <w:szCs w:val="32"/>
          <w:lang w:val="zh-CN"/>
        </w:rPr>
        <w:t>个项目开展绩效监控，组织对</w:t>
      </w:r>
      <w:r>
        <w:rPr>
          <w:rFonts w:ascii="仿宋" w:hAnsi="仿宋" w:eastAsia="仿宋" w:cs="仿宋_GB2312"/>
          <w:color w:val="000000"/>
          <w:kern w:val="2"/>
          <w:sz w:val="32"/>
          <w:szCs w:val="32"/>
        </w:rPr>
        <w:t>3</w:t>
      </w:r>
      <w:r>
        <w:rPr>
          <w:rFonts w:ascii="仿宋" w:hAnsi="仿宋" w:eastAsia="仿宋" w:cs="仿宋_GB2312"/>
          <w:color w:val="000000"/>
          <w:kern w:val="2"/>
          <w:sz w:val="32"/>
          <w:szCs w:val="32"/>
          <w:lang w:val="zh-CN"/>
        </w:rPr>
        <w:t>个项目开展绩效自评，绩效自评表详见第四部分附件。</w:t>
      </w:r>
    </w:p>
    <w:p w14:paraId="6B1362CD">
      <w:pPr>
        <w:keepNext/>
        <w:keepLines/>
        <w:spacing w:line="576" w:lineRule="exact"/>
        <w:ind w:firstLine="643"/>
        <w:jc w:val="both"/>
        <w:rPr>
          <w:rFonts w:hint="default" w:ascii="仿宋" w:hAnsi="仿宋" w:eastAsia="仿宋" w:cs="仿宋_GB2312"/>
          <w:kern w:val="2"/>
          <w:sz w:val="32"/>
          <w:szCs w:val="32"/>
          <w:lang w:val="zh-CN"/>
        </w:rPr>
      </w:pPr>
    </w:p>
    <w:p w14:paraId="4A415836">
      <w:pPr>
        <w:keepNext/>
        <w:keepLines/>
        <w:spacing w:line="576" w:lineRule="exact"/>
        <w:ind w:firstLine="643"/>
        <w:jc w:val="both"/>
        <w:rPr>
          <w:rFonts w:hint="default" w:ascii="仿宋" w:hAnsi="仿宋" w:eastAsia="仿宋" w:cs="仿宋_GB2312"/>
          <w:kern w:val="2"/>
          <w:sz w:val="32"/>
          <w:szCs w:val="32"/>
          <w:lang w:val="zh-CN"/>
        </w:rPr>
      </w:pPr>
    </w:p>
    <w:p w14:paraId="335BC5A5">
      <w:pPr>
        <w:keepNext/>
        <w:keepLines/>
        <w:spacing w:line="576" w:lineRule="exact"/>
        <w:ind w:firstLine="643"/>
        <w:jc w:val="both"/>
        <w:rPr>
          <w:rFonts w:hint="default" w:ascii="仿宋" w:hAnsi="仿宋" w:eastAsia="仿宋" w:cs="仿宋_GB2312"/>
          <w:kern w:val="2"/>
          <w:sz w:val="32"/>
          <w:szCs w:val="32"/>
          <w:lang w:val="zh-CN"/>
        </w:rPr>
      </w:pPr>
    </w:p>
    <w:p w14:paraId="4A466562">
      <w:pPr>
        <w:keepNext/>
        <w:keepLines/>
        <w:spacing w:line="576" w:lineRule="exact"/>
        <w:ind w:firstLine="643"/>
        <w:jc w:val="both"/>
        <w:rPr>
          <w:rFonts w:hint="default" w:ascii="仿宋" w:hAnsi="仿宋" w:eastAsia="仿宋" w:cs="仿宋_GB2312"/>
          <w:kern w:val="2"/>
          <w:sz w:val="32"/>
          <w:szCs w:val="32"/>
          <w:lang w:val="zh-CN"/>
        </w:rPr>
      </w:pPr>
    </w:p>
    <w:p w14:paraId="2ADE0A83">
      <w:pPr>
        <w:keepNext/>
        <w:keepLines/>
        <w:spacing w:line="576" w:lineRule="exact"/>
        <w:ind w:firstLine="643"/>
        <w:jc w:val="both"/>
        <w:rPr>
          <w:rFonts w:hint="default" w:ascii="仿宋" w:hAnsi="仿宋" w:eastAsia="仿宋" w:cs="仿宋_GB2312"/>
          <w:kern w:val="2"/>
          <w:sz w:val="32"/>
          <w:szCs w:val="32"/>
          <w:lang w:val="zh-CN"/>
        </w:rPr>
      </w:pPr>
    </w:p>
    <w:p w14:paraId="0A36D7A4">
      <w:pPr>
        <w:keepNext/>
        <w:keepLines/>
        <w:spacing w:line="576" w:lineRule="exact"/>
        <w:ind w:firstLine="643"/>
        <w:jc w:val="both"/>
        <w:rPr>
          <w:rFonts w:hint="default" w:ascii="仿宋" w:hAnsi="仿宋" w:eastAsia="仿宋" w:cs="仿宋_GB2312"/>
          <w:kern w:val="2"/>
          <w:sz w:val="32"/>
          <w:szCs w:val="32"/>
          <w:lang w:val="zh-CN"/>
        </w:rPr>
      </w:pPr>
    </w:p>
    <w:p w14:paraId="7F67457E">
      <w:pPr>
        <w:keepNext/>
        <w:keepLines/>
        <w:spacing w:line="576" w:lineRule="exact"/>
        <w:ind w:firstLine="643"/>
        <w:jc w:val="both"/>
        <w:rPr>
          <w:rFonts w:hint="default" w:ascii="仿宋" w:hAnsi="仿宋" w:eastAsia="仿宋" w:cs="仿宋_GB2312"/>
          <w:kern w:val="2"/>
          <w:sz w:val="32"/>
          <w:szCs w:val="32"/>
          <w:lang w:val="zh-CN"/>
        </w:rPr>
      </w:pPr>
    </w:p>
    <w:p w14:paraId="1033A512">
      <w:pPr>
        <w:keepNext/>
        <w:keepLines/>
        <w:spacing w:line="576" w:lineRule="exact"/>
        <w:ind w:firstLine="643"/>
        <w:jc w:val="both"/>
        <w:rPr>
          <w:rFonts w:hint="default" w:ascii="仿宋" w:hAnsi="仿宋" w:eastAsia="仿宋" w:cs="仿宋_GB2312"/>
          <w:kern w:val="2"/>
          <w:sz w:val="32"/>
          <w:szCs w:val="32"/>
          <w:lang w:val="zh-CN"/>
        </w:rPr>
      </w:pPr>
    </w:p>
    <w:p w14:paraId="23123E84">
      <w:pPr>
        <w:keepNext/>
        <w:keepLines/>
        <w:spacing w:line="576" w:lineRule="exact"/>
        <w:ind w:firstLine="643"/>
        <w:jc w:val="both"/>
        <w:rPr>
          <w:rFonts w:hint="default" w:ascii="仿宋" w:hAnsi="仿宋" w:eastAsia="仿宋" w:cs="仿宋_GB2312"/>
          <w:kern w:val="2"/>
          <w:sz w:val="32"/>
          <w:szCs w:val="32"/>
          <w:lang w:val="zh-CN"/>
        </w:rPr>
      </w:pPr>
    </w:p>
    <w:p w14:paraId="54E943EB">
      <w:pPr>
        <w:keepNext/>
        <w:keepLines/>
        <w:spacing w:line="576" w:lineRule="exact"/>
        <w:ind w:firstLine="643"/>
        <w:jc w:val="both"/>
        <w:rPr>
          <w:rFonts w:hint="default" w:ascii="仿宋" w:hAnsi="仿宋" w:eastAsia="仿宋" w:cs="仿宋_GB2312"/>
          <w:kern w:val="2"/>
          <w:sz w:val="32"/>
          <w:szCs w:val="32"/>
          <w:lang w:val="zh-CN"/>
        </w:rPr>
      </w:pPr>
    </w:p>
    <w:p w14:paraId="2060A158">
      <w:pPr>
        <w:keepNext/>
        <w:keepLines/>
        <w:spacing w:line="576" w:lineRule="exact"/>
        <w:ind w:firstLine="643"/>
        <w:jc w:val="both"/>
        <w:rPr>
          <w:rFonts w:hint="default" w:ascii="仿宋" w:hAnsi="仿宋" w:eastAsia="仿宋" w:cs="仿宋_GB2312"/>
          <w:kern w:val="2"/>
          <w:sz w:val="32"/>
          <w:szCs w:val="32"/>
          <w:lang w:val="zh-CN"/>
        </w:rPr>
      </w:pPr>
    </w:p>
    <w:p w14:paraId="19BEDF0F">
      <w:pPr>
        <w:keepNext/>
        <w:keepLines/>
        <w:spacing w:line="576" w:lineRule="exact"/>
        <w:ind w:firstLine="643"/>
        <w:jc w:val="both"/>
        <w:rPr>
          <w:rFonts w:hint="default" w:ascii="仿宋" w:hAnsi="仿宋" w:eastAsia="仿宋" w:cs="仿宋_GB2312"/>
          <w:kern w:val="2"/>
          <w:sz w:val="32"/>
          <w:szCs w:val="32"/>
          <w:lang w:val="zh-CN"/>
        </w:rPr>
      </w:pPr>
    </w:p>
    <w:p w14:paraId="1D9B2819">
      <w:pPr>
        <w:keepNext/>
        <w:keepLines/>
        <w:spacing w:line="576" w:lineRule="exact"/>
        <w:ind w:firstLine="643"/>
        <w:jc w:val="both"/>
        <w:rPr>
          <w:rFonts w:hint="default" w:ascii="仿宋" w:hAnsi="仿宋" w:eastAsia="仿宋" w:cs="仿宋_GB2312"/>
          <w:kern w:val="2"/>
          <w:sz w:val="32"/>
          <w:szCs w:val="32"/>
          <w:lang w:val="zh-CN"/>
        </w:rPr>
      </w:pPr>
    </w:p>
    <w:p w14:paraId="3AE801BA">
      <w:pPr>
        <w:keepNext/>
        <w:keepLines/>
        <w:spacing w:line="576" w:lineRule="exact"/>
        <w:ind w:firstLine="643"/>
        <w:jc w:val="both"/>
        <w:rPr>
          <w:rFonts w:hint="default" w:ascii="仿宋" w:hAnsi="仿宋" w:eastAsia="仿宋" w:cs="仿宋_GB2312"/>
          <w:kern w:val="2"/>
          <w:sz w:val="32"/>
          <w:szCs w:val="32"/>
          <w:lang w:val="zh-CN"/>
        </w:rPr>
      </w:pPr>
    </w:p>
    <w:p w14:paraId="47D2F1C7">
      <w:pPr>
        <w:keepNext/>
        <w:keepLines/>
        <w:spacing w:line="576" w:lineRule="exact"/>
        <w:ind w:firstLine="643"/>
        <w:jc w:val="both"/>
        <w:rPr>
          <w:rFonts w:hint="default" w:ascii="仿宋" w:hAnsi="仿宋" w:eastAsia="仿宋" w:cs="仿宋_GB2312"/>
          <w:kern w:val="2"/>
          <w:sz w:val="32"/>
          <w:szCs w:val="32"/>
          <w:lang w:val="zh-CN"/>
        </w:rPr>
      </w:pPr>
    </w:p>
    <w:p w14:paraId="066BD373">
      <w:pPr>
        <w:keepNext/>
        <w:keepLines/>
        <w:spacing w:line="576" w:lineRule="exact"/>
        <w:ind w:firstLine="643"/>
        <w:jc w:val="both"/>
        <w:rPr>
          <w:rFonts w:hint="default" w:ascii="仿宋" w:hAnsi="仿宋" w:eastAsia="仿宋" w:cs="仿宋_GB2312"/>
          <w:kern w:val="2"/>
          <w:sz w:val="32"/>
          <w:szCs w:val="32"/>
          <w:lang w:val="zh-CN"/>
        </w:rPr>
      </w:pPr>
    </w:p>
    <w:p w14:paraId="2BF74E0D">
      <w:pPr>
        <w:pStyle w:val="2"/>
        <w:rPr>
          <w:rFonts w:ascii="仿宋" w:hAnsi="仿宋" w:eastAsia="仿宋" w:cs="仿宋_GB2312"/>
          <w:sz w:val="32"/>
          <w:szCs w:val="32"/>
          <w:lang w:val="zh-CN"/>
        </w:rPr>
      </w:pPr>
    </w:p>
    <w:p w14:paraId="091552AB">
      <w:pPr>
        <w:rPr>
          <w:rFonts w:hint="default" w:ascii="仿宋" w:hAnsi="仿宋" w:eastAsia="仿宋" w:cs="仿宋_GB2312"/>
          <w:kern w:val="2"/>
          <w:sz w:val="32"/>
          <w:szCs w:val="32"/>
          <w:lang w:val="zh-CN"/>
        </w:rPr>
      </w:pPr>
    </w:p>
    <w:p w14:paraId="5C69F69E">
      <w:pPr>
        <w:pStyle w:val="2"/>
        <w:rPr>
          <w:lang w:val="zh-CN"/>
        </w:rPr>
      </w:pPr>
    </w:p>
    <w:p w14:paraId="0B9B219E">
      <w:pPr>
        <w:rPr>
          <w:rFonts w:hint="default"/>
          <w:lang w:val="zh-CN"/>
        </w:rPr>
      </w:pPr>
    </w:p>
    <w:p w14:paraId="1B22EC50">
      <w:pPr>
        <w:pStyle w:val="2"/>
        <w:rPr>
          <w:rFonts w:hint="eastAsia"/>
          <w:lang w:val="zh-CN"/>
        </w:rPr>
      </w:pPr>
    </w:p>
    <w:p w14:paraId="00FCA06E">
      <w:pPr>
        <w:spacing w:line="600" w:lineRule="exact"/>
        <w:jc w:val="center"/>
        <w:rPr>
          <w:rFonts w:hint="default" w:ascii="黑体" w:hAnsi="黑体" w:eastAsia="黑体"/>
          <w:kern w:val="2"/>
          <w:sz w:val="44"/>
          <w:lang w:val="zh-CN"/>
        </w:rPr>
      </w:pPr>
      <w:r>
        <w:rPr>
          <w:rFonts w:ascii="黑体" w:hAnsi="黑体" w:eastAsia="黑体"/>
          <w:kern w:val="2"/>
          <w:sz w:val="44"/>
          <w:lang w:val="zh-CN"/>
        </w:rPr>
        <w:t>第三部分 名词解释</w:t>
      </w:r>
    </w:p>
    <w:p w14:paraId="0AB226A9">
      <w:pPr>
        <w:keepNext/>
        <w:keepLines/>
        <w:spacing w:line="576" w:lineRule="exact"/>
        <w:ind w:firstLine="643"/>
        <w:jc w:val="both"/>
        <w:rPr>
          <w:rFonts w:hint="default" w:ascii="仿宋" w:hAnsi="仿宋" w:eastAsia="仿宋" w:cs="仿宋_GB2312"/>
          <w:kern w:val="2"/>
          <w:sz w:val="32"/>
          <w:szCs w:val="32"/>
        </w:rPr>
      </w:pPr>
    </w:p>
    <w:p w14:paraId="0A7E0DD3">
      <w:pPr>
        <w:spacing w:line="600" w:lineRule="exact"/>
        <w:ind w:firstLine="3080" w:firstLineChars="700"/>
        <w:jc w:val="both"/>
        <w:rPr>
          <w:rFonts w:hint="default" w:ascii="黑体" w:hAnsi="黑体" w:eastAsia="黑体"/>
          <w:kern w:val="2"/>
          <w:sz w:val="44"/>
        </w:rPr>
      </w:pPr>
    </w:p>
    <w:p w14:paraId="30EFE0E1">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1.一般公共预算拨款（补助）收入：指市本级财政拨入的各类经费。</w:t>
      </w:r>
    </w:p>
    <w:p w14:paraId="0D272F27">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2.上年结转：指以前年度尚未完成、结转到本年仍按原规定用途继续使用的资金。</w:t>
      </w:r>
    </w:p>
    <w:p w14:paraId="2E8743B8">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3.结转下年：指以前年度预算安排、因客观条件发生变化无法按原计划实施，需延迟到以后年度按原规定用途继续使用的资金。</w:t>
      </w:r>
    </w:p>
    <w:p w14:paraId="524BF7E2">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4.基本支出：指为保障机构正常运转、完成日常工作任务而发生的人员支出和公用支出。</w:t>
      </w:r>
    </w:p>
    <w:p w14:paraId="36872B75">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5.项目支出：指在基本支出之外为完成特定行政任务和事业发展目标所发生的支出。</w:t>
      </w:r>
    </w:p>
    <w:p w14:paraId="16E423D6">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6.“三公”经费：“三公”经费是指财政拨款支出安排的出国（境）费、车辆购置及运行费、公务接待费这三项经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14:paraId="24E6D811">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7.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即使用一般公共预算财政拨款安排的基本支出中的日常公用经费，不含人员经费和一般行政管理项目支出。</w:t>
      </w:r>
    </w:p>
    <w:p w14:paraId="07A6E282">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社会保障和就业支出（类）行政事业单位离退休（款）归口管理的行政单位离退休（项），主要用于：归口管理的行政单位离退休人员活动、医疗补助、党组织活动、老干部管理工作等。</w:t>
      </w:r>
    </w:p>
    <w:p w14:paraId="35B359C3">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社会保障和就业支出（类）行政事业单位离退休（款）事业单位离退休（项），主要用于：事业单位离退休人员活动、医疗补助、党组织活动、老干部管理工作等。</w:t>
      </w:r>
    </w:p>
    <w:p w14:paraId="363AD22F">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社会保障和就业支出（类）行政事业单位离退休（款）机关事业单位基本养老保险缴费支出（项），主要用于：机关事业单位基本养老保险缴费支出。</w:t>
      </w:r>
    </w:p>
    <w:p w14:paraId="296CC832">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社会保障和就业支出（类）行政事业单位离退休（款）其他行政事业单位离退休支出项，主要用于：机关事业单位离退休人员工作经费支出。</w:t>
      </w:r>
    </w:p>
    <w:p w14:paraId="6845E3AF">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12</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社会保障和就业支出（类）其他社会保障和就业支出（款）其他社会保障和就业支出（项），主要用于改制了断人员及</w:t>
      </w:r>
      <w:r>
        <w:rPr>
          <w:rFonts w:hint="eastAsia" w:ascii="仿宋" w:hAnsi="仿宋" w:eastAsia="仿宋" w:cs="仿宋"/>
          <w:sz w:val="32"/>
          <w:szCs w:val="32"/>
          <w:lang w:eastAsia="zh-CN"/>
        </w:rPr>
        <w:t>中华人民共和国成立前</w:t>
      </w:r>
      <w:r>
        <w:rPr>
          <w:rFonts w:ascii="仿宋" w:hAnsi="仿宋" w:eastAsia="仿宋" w:cs="仿宋"/>
          <w:sz w:val="32"/>
          <w:szCs w:val="32"/>
        </w:rPr>
        <w:t>参加工作人员等生活补助。</w:t>
      </w:r>
    </w:p>
    <w:p w14:paraId="1B86A3FD">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13</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卫生健康支出（类）行政事业单位医疗（款）行政单位医疗（项），主要用于：行政单位按照规定标准为职工缴纳的基本医疗保险等支出。</w:t>
      </w:r>
    </w:p>
    <w:p w14:paraId="792E8E89">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14</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卫生健康支出（类）行政事业单位医疗（款）事业单位医疗（项），主要用于：事业单位按照规定标准为职工缴纳的基本医疗保险及失业保险等支出。</w:t>
      </w:r>
    </w:p>
    <w:p w14:paraId="7878F879">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15</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卫生健康支出（类）行政事业单位医疗（款）公务员医疗补助（项），主要用于：行政事业及参公单位职工医疗补助缴费。</w:t>
      </w:r>
    </w:p>
    <w:p w14:paraId="1FDAC74E">
      <w:pPr>
        <w:overflowPunct w:val="0"/>
        <w:snapToGrid w:val="0"/>
        <w:spacing w:line="324" w:lineRule="auto"/>
        <w:ind w:firstLine="640" w:firstLineChars="200"/>
        <w:rPr>
          <w:rFonts w:ascii="仿宋" w:hAnsi="仿宋" w:eastAsia="仿宋" w:cs="仿宋"/>
          <w:sz w:val="32"/>
          <w:szCs w:val="32"/>
        </w:rPr>
      </w:pPr>
      <w:r>
        <w:rPr>
          <w:rFonts w:ascii="仿宋" w:hAnsi="仿宋" w:eastAsia="仿宋" w:cs="仿宋"/>
          <w:sz w:val="32"/>
          <w:szCs w:val="32"/>
        </w:rPr>
        <w:t>16</w:t>
      </w:r>
      <w:r>
        <w:rPr>
          <w:rFonts w:hint="eastAsia" w:ascii="宋体" w:hAnsi="宋体" w:eastAsia="宋体" w:cs="宋体"/>
          <w:i w:val="0"/>
          <w:iCs w:val="0"/>
          <w:caps w:val="0"/>
          <w:color w:val="333333"/>
          <w:spacing w:val="0"/>
          <w:sz w:val="24"/>
          <w:szCs w:val="24"/>
        </w:rPr>
        <w:t>.</w:t>
      </w:r>
      <w:r>
        <w:rPr>
          <w:rFonts w:ascii="仿宋" w:hAnsi="仿宋" w:eastAsia="仿宋" w:cs="仿宋"/>
          <w:sz w:val="32"/>
          <w:szCs w:val="32"/>
        </w:rPr>
        <w:t>住房保障支出（类）住房改革支出（款）住房公积金（项），主要用于：按照规定标准为职工缴纳的职工住房公积金支出。</w:t>
      </w:r>
    </w:p>
    <w:p w14:paraId="5C2A1562">
      <w:pPr>
        <w:spacing w:line="600" w:lineRule="exact"/>
        <w:jc w:val="center"/>
        <w:outlineLvl w:val="0"/>
        <w:rPr>
          <w:rFonts w:ascii="黑体" w:hAnsi="黑体" w:eastAsia="黑体"/>
          <w:sz w:val="44"/>
          <w:szCs w:val="44"/>
        </w:rPr>
      </w:pPr>
    </w:p>
    <w:p w14:paraId="1F1DBB1C">
      <w:pPr>
        <w:spacing w:line="600" w:lineRule="exact"/>
        <w:jc w:val="center"/>
        <w:outlineLvl w:val="0"/>
        <w:rPr>
          <w:rFonts w:ascii="黑体" w:hAnsi="黑体" w:eastAsia="黑体"/>
          <w:sz w:val="44"/>
          <w:szCs w:val="44"/>
        </w:rPr>
      </w:pPr>
    </w:p>
    <w:p w14:paraId="75CBB55A">
      <w:pPr>
        <w:spacing w:line="600" w:lineRule="exact"/>
        <w:jc w:val="center"/>
        <w:outlineLvl w:val="0"/>
        <w:rPr>
          <w:rFonts w:ascii="黑体" w:hAnsi="黑体" w:eastAsia="黑体"/>
          <w:sz w:val="44"/>
          <w:szCs w:val="44"/>
        </w:rPr>
      </w:pPr>
    </w:p>
    <w:p w14:paraId="28095112">
      <w:pPr>
        <w:spacing w:line="600" w:lineRule="exact"/>
        <w:jc w:val="center"/>
        <w:outlineLvl w:val="0"/>
        <w:rPr>
          <w:rFonts w:ascii="黑体" w:hAnsi="黑体" w:eastAsia="黑体"/>
          <w:sz w:val="44"/>
          <w:szCs w:val="44"/>
        </w:rPr>
      </w:pPr>
    </w:p>
    <w:p w14:paraId="146F9D86">
      <w:pPr>
        <w:pStyle w:val="2"/>
      </w:pPr>
      <w:bookmarkStart w:id="20" w:name="_GoBack"/>
      <w:bookmarkEnd w:id="20"/>
    </w:p>
    <w:p w14:paraId="5AB3171B">
      <w:pPr>
        <w:spacing w:line="600" w:lineRule="exact"/>
        <w:ind w:firstLine="3080" w:firstLineChars="700"/>
        <w:jc w:val="both"/>
        <w:rPr>
          <w:rFonts w:hint="default" w:ascii="黑体" w:hAnsi="黑体" w:eastAsia="黑体"/>
          <w:kern w:val="2"/>
          <w:sz w:val="44"/>
        </w:rPr>
      </w:pPr>
    </w:p>
    <w:p w14:paraId="41A1336D">
      <w:pPr>
        <w:spacing w:line="600" w:lineRule="exact"/>
        <w:ind w:firstLine="3080" w:firstLineChars="700"/>
        <w:jc w:val="both"/>
        <w:rPr>
          <w:rFonts w:hint="default" w:ascii="黑体" w:hAnsi="黑体" w:eastAsia="黑体"/>
          <w:kern w:val="2"/>
          <w:sz w:val="44"/>
        </w:rPr>
      </w:pPr>
    </w:p>
    <w:p w14:paraId="50EC965B">
      <w:pPr>
        <w:pStyle w:val="2"/>
      </w:pPr>
    </w:p>
    <w:p w14:paraId="511423F9">
      <w:pPr>
        <w:rPr>
          <w:rFonts w:hint="default"/>
        </w:rPr>
      </w:pPr>
    </w:p>
    <w:p w14:paraId="33E4851F">
      <w:pPr>
        <w:pStyle w:val="2"/>
      </w:pPr>
    </w:p>
    <w:p w14:paraId="021BAAA0"/>
    <w:p w14:paraId="220AC751">
      <w:pPr>
        <w:spacing w:line="600" w:lineRule="exact"/>
        <w:jc w:val="center"/>
        <w:rPr>
          <w:rFonts w:hint="default" w:ascii="黑体" w:hAnsi="Cambria" w:eastAsia="黑体" w:cs="黑体"/>
          <w:kern w:val="44"/>
          <w:sz w:val="44"/>
          <w:szCs w:val="44"/>
        </w:rPr>
      </w:pPr>
      <w:r>
        <w:rPr>
          <w:rFonts w:ascii="黑体" w:hAnsi="Cambria" w:eastAsia="黑体" w:cs="黑体"/>
          <w:kern w:val="2"/>
          <w:sz w:val="44"/>
          <w:szCs w:val="44"/>
        </w:rPr>
        <w:t>第</w:t>
      </w:r>
      <w:r>
        <w:rPr>
          <w:rFonts w:ascii="黑体" w:hAnsi="Cambria" w:eastAsia="黑体" w:cs="黑体"/>
          <w:kern w:val="44"/>
          <w:sz w:val="44"/>
          <w:szCs w:val="44"/>
        </w:rPr>
        <w:t>四部分 附件</w:t>
      </w:r>
    </w:p>
    <w:p w14:paraId="5D9F8C90">
      <w:pPr>
        <w:keepNext/>
        <w:keepLines/>
        <w:spacing w:line="572" w:lineRule="exact"/>
        <w:rPr>
          <w:rFonts w:hint="default" w:ascii="仿宋_GB2312" w:hAnsi="Cambria" w:eastAsia="仿宋_GB2312" w:cs="仿宋_GB2312"/>
          <w:kern w:val="2"/>
          <w:sz w:val="32"/>
          <w:szCs w:val="32"/>
        </w:rPr>
      </w:pPr>
    </w:p>
    <w:p w14:paraId="00F564C0">
      <w:pPr>
        <w:spacing w:line="600" w:lineRule="exact"/>
        <w:jc w:val="center"/>
        <w:rPr>
          <w:rFonts w:hint="default" w:ascii="宋体" w:hAnsi="Cambria" w:cs="宋体"/>
          <w:sz w:val="32"/>
          <w:szCs w:val="32"/>
        </w:rPr>
      </w:pPr>
      <w:r>
        <w:rPr>
          <w:rFonts w:ascii="宋体" w:hAnsi="Cambria" w:cs="宋体"/>
          <w:sz w:val="32"/>
          <w:szCs w:val="32"/>
        </w:rPr>
        <w:t>部门预算项目支出绩效自评表（2023年度）</w:t>
      </w:r>
    </w:p>
    <w:p w14:paraId="05656782">
      <w:pPr>
        <w:spacing w:line="600" w:lineRule="exact"/>
        <w:rPr>
          <w:rFonts w:hint="default" w:ascii="仿宋_GB2312" w:hAnsi="Cambria" w:eastAsia="仿宋_GB2312" w:cs="仿宋_GB2312"/>
          <w:sz w:val="32"/>
          <w:szCs w:val="32"/>
        </w:rPr>
      </w:pPr>
    </w:p>
    <w:tbl>
      <w:tblPr>
        <w:tblStyle w:val="9"/>
        <w:tblW w:w="9260" w:type="dxa"/>
        <w:tblInd w:w="108" w:type="dxa"/>
        <w:tblLayout w:type="autofit"/>
        <w:tblCellMar>
          <w:top w:w="0" w:type="dxa"/>
          <w:left w:w="108" w:type="dxa"/>
          <w:bottom w:w="0" w:type="dxa"/>
          <w:right w:w="108" w:type="dxa"/>
        </w:tblCellMar>
      </w:tblPr>
      <w:tblGrid>
        <w:gridCol w:w="576"/>
        <w:gridCol w:w="576"/>
        <w:gridCol w:w="576"/>
        <w:gridCol w:w="576"/>
        <w:gridCol w:w="396"/>
        <w:gridCol w:w="396"/>
        <w:gridCol w:w="396"/>
        <w:gridCol w:w="846"/>
        <w:gridCol w:w="2595"/>
        <w:gridCol w:w="436"/>
        <w:gridCol w:w="1891"/>
      </w:tblGrid>
      <w:tr w14:paraId="5DDBFEB0">
        <w:tblPrEx>
          <w:tblCellMar>
            <w:top w:w="0" w:type="dxa"/>
            <w:left w:w="108" w:type="dxa"/>
            <w:bottom w:w="0" w:type="dxa"/>
            <w:right w:w="108" w:type="dxa"/>
          </w:tblCellMar>
        </w:tblPrEx>
        <w:trPr>
          <w:trHeight w:val="904" w:hRule="atLeast"/>
        </w:trPr>
        <w:tc>
          <w:tcPr>
            <w:tcW w:w="92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FA3293">
            <w:pPr>
              <w:widowControl/>
              <w:autoSpaceDE/>
              <w:autoSpaceDN/>
              <w:adjustRightInd/>
              <w:jc w:val="center"/>
              <w:rPr>
                <w:rFonts w:hint="default" w:ascii="黑体" w:hAnsi="黑体" w:eastAsia="黑体" w:cs="宋体"/>
                <w:b/>
                <w:bCs/>
                <w:color w:val="000000"/>
                <w:sz w:val="30"/>
                <w:szCs w:val="30"/>
              </w:rPr>
            </w:pPr>
            <w:r>
              <w:rPr>
                <w:rFonts w:ascii="黑体" w:hAnsi="黑体" w:eastAsia="黑体" w:cs="宋体"/>
                <w:b/>
                <w:bCs/>
                <w:color w:val="000000"/>
                <w:sz w:val="30"/>
                <w:szCs w:val="30"/>
              </w:rPr>
              <w:t>部门预算项目支出绩效自评表（2023年度）</w:t>
            </w:r>
          </w:p>
        </w:tc>
      </w:tr>
      <w:tr w14:paraId="2F084131">
        <w:tblPrEx>
          <w:tblCellMar>
            <w:top w:w="0" w:type="dxa"/>
            <w:left w:w="108" w:type="dxa"/>
            <w:bottom w:w="0" w:type="dxa"/>
            <w:right w:w="108" w:type="dxa"/>
          </w:tblCellMar>
        </w:tblPrEx>
        <w:trPr>
          <w:trHeight w:val="285"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07EE6">
            <w:pPr>
              <w:widowControl/>
              <w:autoSpaceDE/>
              <w:autoSpaceDN/>
              <w:adjustRightInd/>
              <w:rPr>
                <w:rFonts w:ascii="宋体" w:hAnsi="宋体" w:cs="宋体"/>
                <w:color w:val="000000"/>
                <w:sz w:val="18"/>
                <w:szCs w:val="18"/>
              </w:rPr>
            </w:pPr>
            <w:r>
              <w:rPr>
                <w:rFonts w:ascii="宋体" w:hAnsi="宋体" w:cs="宋体"/>
                <w:color w:val="000000"/>
                <w:sz w:val="18"/>
                <w:szCs w:val="18"/>
              </w:rPr>
              <w:t>项目名称</w:t>
            </w:r>
          </w:p>
        </w:tc>
        <w:tc>
          <w:tcPr>
            <w:tcW w:w="8660" w:type="dxa"/>
            <w:gridSpan w:val="9"/>
            <w:tcBorders>
              <w:top w:val="single" w:color="000000" w:sz="4" w:space="0"/>
              <w:left w:val="nil"/>
              <w:bottom w:val="single" w:color="000000" w:sz="4" w:space="0"/>
              <w:right w:val="single" w:color="000000" w:sz="4" w:space="0"/>
            </w:tcBorders>
            <w:shd w:val="clear" w:color="auto" w:fill="auto"/>
            <w:vAlign w:val="center"/>
          </w:tcPr>
          <w:p w14:paraId="72CDAF21">
            <w:pPr>
              <w:widowControl/>
              <w:autoSpaceDE/>
              <w:autoSpaceDN/>
              <w:adjustRightInd/>
              <w:rPr>
                <w:rFonts w:ascii="宋体" w:hAnsi="宋体" w:cs="宋体"/>
                <w:color w:val="000000"/>
                <w:sz w:val="18"/>
                <w:szCs w:val="18"/>
              </w:rPr>
            </w:pPr>
            <w:r>
              <w:rPr>
                <w:rFonts w:ascii="宋体" w:hAnsi="宋体" w:cs="宋体"/>
                <w:color w:val="000000"/>
                <w:sz w:val="18"/>
                <w:szCs w:val="18"/>
              </w:rPr>
              <w:t>51098123T000007812024</w:t>
            </w:r>
            <w:r>
              <w:rPr>
                <w:rFonts w:hint="eastAsia" w:ascii="宋体" w:hAnsi="宋体" w:cs="宋体"/>
                <w:color w:val="000000"/>
                <w:sz w:val="18"/>
                <w:szCs w:val="18"/>
                <w:lang w:eastAsia="zh-CN"/>
              </w:rPr>
              <w:t>－</w:t>
            </w:r>
            <w:r>
              <w:rPr>
                <w:rFonts w:ascii="宋体" w:hAnsi="宋体" w:cs="宋体"/>
                <w:color w:val="000000"/>
                <w:sz w:val="18"/>
                <w:szCs w:val="18"/>
              </w:rPr>
              <w:t>市本级财政衔接推进乡村振兴资金（建档立卡学生免课后服务）</w:t>
            </w:r>
          </w:p>
        </w:tc>
      </w:tr>
      <w:tr w14:paraId="03274075">
        <w:tblPrEx>
          <w:tblCellMar>
            <w:top w:w="0" w:type="dxa"/>
            <w:left w:w="108" w:type="dxa"/>
            <w:bottom w:w="0" w:type="dxa"/>
            <w:right w:w="108" w:type="dxa"/>
          </w:tblCellMar>
        </w:tblPrEx>
        <w:trPr>
          <w:trHeight w:val="514"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9B59A">
            <w:pPr>
              <w:widowControl/>
              <w:autoSpaceDE/>
              <w:autoSpaceDN/>
              <w:adjustRightInd/>
              <w:rPr>
                <w:rFonts w:ascii="宋体" w:hAnsi="宋体" w:cs="宋体"/>
                <w:color w:val="000000"/>
                <w:sz w:val="18"/>
                <w:szCs w:val="18"/>
              </w:rPr>
            </w:pPr>
            <w:r>
              <w:rPr>
                <w:rFonts w:ascii="宋体" w:hAnsi="宋体" w:cs="宋体"/>
                <w:color w:val="000000"/>
                <w:sz w:val="18"/>
                <w:szCs w:val="18"/>
              </w:rPr>
              <w:t>主管部门</w:t>
            </w: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13D6C013">
            <w:pPr>
              <w:widowControl/>
              <w:autoSpaceDE/>
              <w:autoSpaceDN/>
              <w:adjustRightInd/>
              <w:rPr>
                <w:rFonts w:ascii="宋体" w:hAnsi="宋体" w:cs="宋体"/>
                <w:color w:val="000000"/>
                <w:sz w:val="18"/>
                <w:szCs w:val="18"/>
              </w:rPr>
            </w:pPr>
            <w:r>
              <w:rPr>
                <w:rFonts w:ascii="宋体" w:hAnsi="宋体" w:cs="宋体"/>
                <w:color w:val="000000"/>
                <w:sz w:val="18"/>
                <w:szCs w:val="18"/>
              </w:rPr>
              <w:t>射洪市教育和体育局部门</w:t>
            </w:r>
          </w:p>
        </w:tc>
        <w:tc>
          <w:tcPr>
            <w:tcW w:w="300" w:type="dxa"/>
            <w:tcBorders>
              <w:top w:val="nil"/>
              <w:left w:val="nil"/>
              <w:bottom w:val="nil"/>
              <w:right w:val="nil"/>
            </w:tcBorders>
            <w:shd w:val="clear" w:color="auto" w:fill="auto"/>
            <w:vAlign w:val="center"/>
          </w:tcPr>
          <w:p w14:paraId="7D160304">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实施单位 （盖章）</w:t>
            </w:r>
          </w:p>
        </w:tc>
        <w:tc>
          <w:tcPr>
            <w:tcW w:w="6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99DD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射洪市仁和镇初级中学校</w:t>
            </w:r>
          </w:p>
        </w:tc>
      </w:tr>
      <w:tr w14:paraId="49977039">
        <w:tblPrEx>
          <w:tblCellMar>
            <w:top w:w="0" w:type="dxa"/>
            <w:left w:w="108" w:type="dxa"/>
            <w:bottom w:w="0" w:type="dxa"/>
            <w:right w:w="108" w:type="dxa"/>
          </w:tblCellMar>
        </w:tblPrEx>
        <w:trPr>
          <w:trHeight w:val="285"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3B877354">
            <w:pPr>
              <w:widowControl/>
              <w:autoSpaceDE/>
              <w:autoSpaceDN/>
              <w:adjustRightInd/>
              <w:rPr>
                <w:rFonts w:ascii="宋体" w:hAnsi="宋体" w:cs="宋体"/>
                <w:color w:val="000000"/>
                <w:sz w:val="18"/>
                <w:szCs w:val="18"/>
              </w:rPr>
            </w:pPr>
            <w:r>
              <w:rPr>
                <w:rFonts w:ascii="宋体" w:hAnsi="宋体" w:cs="宋体"/>
                <w:color w:val="000000"/>
                <w:sz w:val="18"/>
                <w:szCs w:val="18"/>
              </w:rPr>
              <w:t>项目基本情况</w:t>
            </w:r>
          </w:p>
        </w:tc>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690DDD10">
            <w:pPr>
              <w:widowControl/>
              <w:autoSpaceDE/>
              <w:autoSpaceDN/>
              <w:adjustRightInd/>
              <w:rPr>
                <w:rFonts w:ascii="宋体" w:hAnsi="宋体" w:cs="宋体"/>
                <w:color w:val="000000"/>
                <w:sz w:val="18"/>
                <w:szCs w:val="18"/>
              </w:rPr>
            </w:pPr>
            <w:r>
              <w:rPr>
                <w:rFonts w:ascii="宋体" w:hAnsi="宋体" w:cs="宋体"/>
                <w:color w:val="000000"/>
                <w:sz w:val="18"/>
                <w:szCs w:val="18"/>
              </w:rPr>
              <w:t>1.项目年度目标完成情况</w:t>
            </w: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1177DE1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项目年度目标</w:t>
            </w:r>
          </w:p>
        </w:tc>
        <w:tc>
          <w:tcPr>
            <w:tcW w:w="7160" w:type="dxa"/>
            <w:gridSpan w:val="4"/>
            <w:tcBorders>
              <w:top w:val="single" w:color="000000" w:sz="4" w:space="0"/>
              <w:left w:val="nil"/>
              <w:bottom w:val="single" w:color="000000" w:sz="4" w:space="0"/>
              <w:right w:val="single" w:color="000000" w:sz="4" w:space="0"/>
            </w:tcBorders>
            <w:shd w:val="clear" w:color="auto" w:fill="auto"/>
            <w:vAlign w:val="center"/>
          </w:tcPr>
          <w:p w14:paraId="346C837C">
            <w:pPr>
              <w:widowControl/>
              <w:autoSpaceDE/>
              <w:autoSpaceDN/>
              <w:adjustRightInd/>
              <w:jc w:val="center"/>
              <w:rPr>
                <w:rFonts w:ascii="Courier New" w:hAnsi="Courier New" w:eastAsia="等线" w:cs="Courier New"/>
                <w:color w:val="000000"/>
                <w:sz w:val="18"/>
                <w:szCs w:val="18"/>
              </w:rPr>
            </w:pPr>
            <w:r>
              <w:rPr>
                <w:rFonts w:ascii="Courier New" w:hAnsi="Courier New" w:eastAsia="等线" w:cs="Courier New"/>
                <w:color w:val="000000"/>
                <w:sz w:val="18"/>
                <w:szCs w:val="18"/>
              </w:rPr>
              <w:t>年度目标完成情况</w:t>
            </w:r>
          </w:p>
        </w:tc>
      </w:tr>
      <w:tr w14:paraId="246F4371">
        <w:tblPrEx>
          <w:tblCellMar>
            <w:top w:w="0" w:type="dxa"/>
            <w:left w:w="108" w:type="dxa"/>
            <w:bottom w:w="0" w:type="dxa"/>
            <w:right w:w="108" w:type="dxa"/>
          </w:tblCellMar>
        </w:tblPrEx>
        <w:trPr>
          <w:trHeight w:val="709" w:hRule="atLeast"/>
        </w:trPr>
        <w:tc>
          <w:tcPr>
            <w:tcW w:w="300" w:type="dxa"/>
            <w:vMerge w:val="continue"/>
            <w:tcBorders>
              <w:top w:val="nil"/>
              <w:left w:val="single" w:color="000000" w:sz="4" w:space="0"/>
              <w:bottom w:val="single" w:color="000000" w:sz="4" w:space="0"/>
              <w:right w:val="single" w:color="000000" w:sz="4" w:space="0"/>
            </w:tcBorders>
            <w:vAlign w:val="center"/>
          </w:tcPr>
          <w:p w14:paraId="0FA7A624">
            <w:pPr>
              <w:widowControl/>
              <w:autoSpaceDE/>
              <w:autoSpaceDN/>
              <w:adjustRightInd/>
              <w:rPr>
                <w:rFonts w:ascii="宋体" w:hAnsi="宋体" w:cs="宋体"/>
                <w:color w:val="000000"/>
                <w:sz w:val="18"/>
                <w:szCs w:val="18"/>
              </w:rPr>
            </w:pPr>
          </w:p>
        </w:tc>
        <w:tc>
          <w:tcPr>
            <w:tcW w:w="300" w:type="dxa"/>
            <w:vMerge w:val="continue"/>
            <w:tcBorders>
              <w:top w:val="nil"/>
              <w:left w:val="single" w:color="000000" w:sz="4" w:space="0"/>
              <w:bottom w:val="single" w:color="000000" w:sz="4" w:space="0"/>
              <w:right w:val="single" w:color="000000" w:sz="4" w:space="0"/>
            </w:tcBorders>
            <w:vAlign w:val="center"/>
          </w:tcPr>
          <w:p w14:paraId="7EB9D024">
            <w:pPr>
              <w:widowControl/>
              <w:autoSpaceDE/>
              <w:autoSpaceDN/>
              <w:adjustRightInd/>
              <w:rPr>
                <w:rFonts w:ascii="宋体" w:hAnsi="宋体" w:cs="宋体"/>
                <w:color w:val="000000"/>
                <w:sz w:val="18"/>
                <w:szCs w:val="18"/>
              </w:rPr>
            </w:pP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4F0C58F4">
            <w:pPr>
              <w:widowControl/>
              <w:autoSpaceDE/>
              <w:autoSpaceDN/>
              <w:adjustRightInd/>
              <w:rPr>
                <w:rFonts w:ascii="宋体" w:hAnsi="宋体" w:cs="宋体"/>
                <w:color w:val="000000"/>
                <w:sz w:val="18"/>
                <w:szCs w:val="18"/>
              </w:rPr>
            </w:pPr>
            <w:r>
              <w:rPr>
                <w:rFonts w:ascii="宋体" w:hAnsi="宋体" w:cs="宋体"/>
                <w:color w:val="000000"/>
                <w:sz w:val="18"/>
                <w:szCs w:val="18"/>
              </w:rPr>
              <w:t>完成2023年度建档立卡学生免课后服务补助支出。</w:t>
            </w:r>
          </w:p>
        </w:tc>
        <w:tc>
          <w:tcPr>
            <w:tcW w:w="7160" w:type="dxa"/>
            <w:gridSpan w:val="4"/>
            <w:tcBorders>
              <w:top w:val="single" w:color="000000" w:sz="4" w:space="0"/>
              <w:left w:val="nil"/>
              <w:bottom w:val="single" w:color="000000" w:sz="4" w:space="0"/>
              <w:right w:val="single" w:color="000000" w:sz="4" w:space="0"/>
            </w:tcBorders>
            <w:shd w:val="clear" w:color="auto" w:fill="auto"/>
            <w:vAlign w:val="center"/>
          </w:tcPr>
          <w:p w14:paraId="476F00BC">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完成2023年度建档立卡学生免课后服务补助支出。</w:t>
            </w:r>
          </w:p>
        </w:tc>
      </w:tr>
      <w:tr w14:paraId="1B3A34EC">
        <w:tblPrEx>
          <w:tblCellMar>
            <w:top w:w="0" w:type="dxa"/>
            <w:left w:w="108" w:type="dxa"/>
            <w:bottom w:w="0" w:type="dxa"/>
            <w:right w:w="108" w:type="dxa"/>
          </w:tblCellMar>
        </w:tblPrEx>
        <w:trPr>
          <w:trHeight w:val="694" w:hRule="atLeast"/>
        </w:trPr>
        <w:tc>
          <w:tcPr>
            <w:tcW w:w="300" w:type="dxa"/>
            <w:vMerge w:val="continue"/>
            <w:tcBorders>
              <w:top w:val="nil"/>
              <w:left w:val="single" w:color="000000" w:sz="4" w:space="0"/>
              <w:bottom w:val="single" w:color="000000" w:sz="4" w:space="0"/>
              <w:right w:val="single" w:color="000000" w:sz="4" w:space="0"/>
            </w:tcBorders>
            <w:vAlign w:val="center"/>
          </w:tcPr>
          <w:p w14:paraId="17C9B688">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02019F1B">
            <w:pPr>
              <w:widowControl/>
              <w:autoSpaceDE/>
              <w:autoSpaceDN/>
              <w:adjustRightInd/>
              <w:rPr>
                <w:rFonts w:ascii="宋体" w:hAnsi="宋体" w:cs="宋体"/>
                <w:color w:val="000000"/>
                <w:sz w:val="18"/>
                <w:szCs w:val="18"/>
              </w:rPr>
            </w:pPr>
            <w:r>
              <w:rPr>
                <w:rFonts w:ascii="宋体" w:hAnsi="宋体" w:cs="宋体"/>
                <w:color w:val="000000"/>
                <w:sz w:val="18"/>
                <w:szCs w:val="18"/>
              </w:rPr>
              <w:t>2.项目实施内容及过程概述</w:t>
            </w:r>
          </w:p>
        </w:tc>
        <w:tc>
          <w:tcPr>
            <w:tcW w:w="8660" w:type="dxa"/>
            <w:gridSpan w:val="9"/>
            <w:tcBorders>
              <w:top w:val="single" w:color="000000" w:sz="4" w:space="0"/>
              <w:left w:val="nil"/>
              <w:bottom w:val="single" w:color="000000" w:sz="4" w:space="0"/>
              <w:right w:val="single" w:color="000000" w:sz="4" w:space="0"/>
            </w:tcBorders>
            <w:shd w:val="clear" w:color="auto" w:fill="auto"/>
            <w:vAlign w:val="center"/>
          </w:tcPr>
          <w:p w14:paraId="2675B256">
            <w:pPr>
              <w:widowControl/>
              <w:autoSpaceDE/>
              <w:autoSpaceDN/>
              <w:adjustRightInd/>
              <w:rPr>
                <w:rFonts w:ascii="宋体" w:hAnsi="宋体" w:cs="宋体"/>
                <w:color w:val="000000"/>
                <w:sz w:val="18"/>
                <w:szCs w:val="18"/>
              </w:rPr>
            </w:pPr>
            <w:r>
              <w:rPr>
                <w:rFonts w:ascii="宋体" w:hAnsi="宋体" w:cs="宋体"/>
                <w:color w:val="000000"/>
                <w:sz w:val="18"/>
                <w:szCs w:val="18"/>
              </w:rPr>
              <w:t>按照文件要求实施</w:t>
            </w:r>
          </w:p>
        </w:tc>
      </w:tr>
      <w:tr w14:paraId="34526D84">
        <w:tblPrEx>
          <w:tblCellMar>
            <w:top w:w="0" w:type="dxa"/>
            <w:left w:w="108" w:type="dxa"/>
            <w:bottom w:w="0" w:type="dxa"/>
            <w:right w:w="108" w:type="dxa"/>
          </w:tblCellMar>
        </w:tblPrEx>
        <w:trPr>
          <w:trHeight w:val="360"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3AA215B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预算执行情况（10分）</w:t>
            </w:r>
          </w:p>
        </w:tc>
        <w:tc>
          <w:tcPr>
            <w:tcW w:w="300" w:type="dxa"/>
            <w:tcBorders>
              <w:top w:val="nil"/>
              <w:left w:val="nil"/>
              <w:bottom w:val="single" w:color="000000" w:sz="4" w:space="0"/>
              <w:right w:val="single" w:color="000000" w:sz="4" w:space="0"/>
            </w:tcBorders>
            <w:shd w:val="clear" w:color="auto" w:fill="auto"/>
            <w:vAlign w:val="center"/>
          </w:tcPr>
          <w:p w14:paraId="01EFD2D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年度预算数（万元）</w:t>
            </w:r>
          </w:p>
        </w:tc>
        <w:tc>
          <w:tcPr>
            <w:tcW w:w="300" w:type="dxa"/>
            <w:tcBorders>
              <w:top w:val="nil"/>
              <w:left w:val="nil"/>
              <w:bottom w:val="single" w:color="000000" w:sz="4" w:space="0"/>
              <w:right w:val="single" w:color="000000" w:sz="4" w:space="0"/>
            </w:tcBorders>
            <w:shd w:val="clear" w:color="auto" w:fill="auto"/>
            <w:vAlign w:val="center"/>
          </w:tcPr>
          <w:p w14:paraId="24BAD71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年初预算</w:t>
            </w:r>
          </w:p>
        </w:tc>
        <w:tc>
          <w:tcPr>
            <w:tcW w:w="300" w:type="dxa"/>
            <w:tcBorders>
              <w:top w:val="nil"/>
              <w:left w:val="nil"/>
              <w:bottom w:val="single" w:color="000000" w:sz="4" w:space="0"/>
              <w:right w:val="single" w:color="000000" w:sz="4" w:space="0"/>
            </w:tcBorders>
            <w:shd w:val="clear" w:color="auto" w:fill="auto"/>
            <w:vAlign w:val="center"/>
          </w:tcPr>
          <w:p w14:paraId="192B631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调整后预算数</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34C5AE3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预算执行数</w:t>
            </w:r>
          </w:p>
        </w:tc>
        <w:tc>
          <w:tcPr>
            <w:tcW w:w="300" w:type="dxa"/>
            <w:tcBorders>
              <w:top w:val="nil"/>
              <w:left w:val="nil"/>
              <w:bottom w:val="single" w:color="000000" w:sz="4" w:space="0"/>
              <w:right w:val="single" w:color="000000" w:sz="4" w:space="0"/>
            </w:tcBorders>
            <w:shd w:val="clear" w:color="auto" w:fill="auto"/>
            <w:vAlign w:val="center"/>
          </w:tcPr>
          <w:p w14:paraId="70F367A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预算执行率</w:t>
            </w:r>
          </w:p>
        </w:tc>
        <w:tc>
          <w:tcPr>
            <w:tcW w:w="3840" w:type="dxa"/>
            <w:tcBorders>
              <w:top w:val="nil"/>
              <w:left w:val="nil"/>
              <w:bottom w:val="single" w:color="000000" w:sz="4" w:space="0"/>
              <w:right w:val="single" w:color="000000" w:sz="4" w:space="0"/>
            </w:tcBorders>
            <w:shd w:val="clear" w:color="auto" w:fill="auto"/>
            <w:vAlign w:val="center"/>
          </w:tcPr>
          <w:p w14:paraId="56BB50B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1B70294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14:paraId="52EEFF3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原因</w:t>
            </w:r>
          </w:p>
        </w:tc>
      </w:tr>
      <w:tr w14:paraId="31CCBB9B">
        <w:tblPrEx>
          <w:tblCellMar>
            <w:top w:w="0" w:type="dxa"/>
            <w:left w:w="108" w:type="dxa"/>
            <w:bottom w:w="0" w:type="dxa"/>
            <w:right w:w="108" w:type="dxa"/>
          </w:tblCellMar>
        </w:tblPrEx>
        <w:trPr>
          <w:trHeight w:val="345" w:hRule="atLeast"/>
        </w:trPr>
        <w:tc>
          <w:tcPr>
            <w:tcW w:w="300" w:type="dxa"/>
            <w:vMerge w:val="continue"/>
            <w:tcBorders>
              <w:top w:val="nil"/>
              <w:left w:val="single" w:color="000000" w:sz="4" w:space="0"/>
              <w:bottom w:val="single" w:color="000000" w:sz="4" w:space="0"/>
              <w:right w:val="single" w:color="000000" w:sz="4" w:space="0"/>
            </w:tcBorders>
            <w:vAlign w:val="center"/>
          </w:tcPr>
          <w:p w14:paraId="155E4641">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1DBD1DF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总额</w:t>
            </w:r>
          </w:p>
        </w:tc>
        <w:tc>
          <w:tcPr>
            <w:tcW w:w="300" w:type="dxa"/>
            <w:tcBorders>
              <w:top w:val="nil"/>
              <w:left w:val="nil"/>
              <w:bottom w:val="single" w:color="000000" w:sz="4" w:space="0"/>
              <w:right w:val="single" w:color="000000" w:sz="4" w:space="0"/>
            </w:tcBorders>
            <w:shd w:val="clear" w:color="auto" w:fill="auto"/>
            <w:vAlign w:val="center"/>
          </w:tcPr>
          <w:p w14:paraId="3C25EE7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1D47501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8.14</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3DAE5CA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8.14</w:t>
            </w:r>
          </w:p>
        </w:tc>
        <w:tc>
          <w:tcPr>
            <w:tcW w:w="300" w:type="dxa"/>
            <w:tcBorders>
              <w:top w:val="nil"/>
              <w:left w:val="nil"/>
              <w:bottom w:val="single" w:color="000000" w:sz="4" w:space="0"/>
              <w:right w:val="single" w:color="000000" w:sz="4" w:space="0"/>
            </w:tcBorders>
            <w:shd w:val="clear" w:color="auto" w:fill="auto"/>
            <w:vAlign w:val="center"/>
          </w:tcPr>
          <w:p w14:paraId="118C1A6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100.00%</w:t>
            </w:r>
          </w:p>
        </w:tc>
        <w:tc>
          <w:tcPr>
            <w:tcW w:w="3840" w:type="dxa"/>
            <w:tcBorders>
              <w:top w:val="nil"/>
              <w:left w:val="nil"/>
              <w:bottom w:val="single" w:color="000000" w:sz="4" w:space="0"/>
              <w:right w:val="single" w:color="000000" w:sz="4" w:space="0"/>
            </w:tcBorders>
            <w:shd w:val="clear" w:color="auto" w:fill="auto"/>
            <w:vAlign w:val="center"/>
          </w:tcPr>
          <w:p w14:paraId="03F45E39">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0A30EFD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2560" w:type="dxa"/>
            <w:vMerge w:val="restart"/>
            <w:tcBorders>
              <w:top w:val="nil"/>
              <w:left w:val="single" w:color="000000" w:sz="4" w:space="0"/>
              <w:bottom w:val="single" w:color="000000" w:sz="4" w:space="0"/>
              <w:right w:val="single" w:color="000000" w:sz="4" w:space="0"/>
            </w:tcBorders>
            <w:shd w:val="clear" w:color="auto" w:fill="auto"/>
            <w:vAlign w:val="center"/>
          </w:tcPr>
          <w:p w14:paraId="262E8C65">
            <w:pPr>
              <w:widowControl/>
              <w:autoSpaceDE/>
              <w:autoSpaceDN/>
              <w:adjustRightInd/>
              <w:rPr>
                <w:rFonts w:ascii="Courier New" w:hAnsi="Courier New" w:eastAsia="等线" w:cs="Courier New"/>
                <w:i/>
                <w:iCs/>
                <w:color w:val="000000"/>
                <w:sz w:val="18"/>
                <w:szCs w:val="18"/>
              </w:rPr>
            </w:pPr>
            <w:r>
              <w:rPr>
                <w:rFonts w:ascii="Courier New" w:hAnsi="Courier New" w:eastAsia="等线" w:cs="Courier New"/>
                <w:i/>
                <w:iCs/>
                <w:color w:val="000000"/>
                <w:sz w:val="18"/>
                <w:szCs w:val="18"/>
              </w:rPr>
              <w:t>1.预算执行率=预算执行数/调整后预算数，预算执行率未达到90%的需说明原因（100字以内）</w:t>
            </w:r>
            <w:r>
              <w:rPr>
                <w:rFonts w:hint="eastAsia" w:ascii="Courier New" w:hAnsi="Courier New" w:eastAsia="等线" w:cs="Courier New"/>
                <w:i/>
                <w:iCs/>
                <w:color w:val="000000"/>
                <w:sz w:val="18"/>
                <w:szCs w:val="18"/>
                <w:lang w:eastAsia="zh-CN"/>
              </w:rPr>
              <w:t>；</w:t>
            </w:r>
            <w:r>
              <w:rPr>
                <w:rFonts w:ascii="Courier New" w:hAnsi="Courier New" w:eastAsia="等线" w:cs="Courier New"/>
                <w:i/>
                <w:iCs/>
                <w:color w:val="000000"/>
                <w:sz w:val="18"/>
                <w:szCs w:val="18"/>
              </w:rPr>
              <w:t>2.年中发生预算调整的（追加或调减）</w:t>
            </w:r>
            <w:r>
              <w:rPr>
                <w:rFonts w:hint="eastAsia" w:ascii="Courier New" w:hAnsi="Courier New" w:eastAsia="等线" w:cs="Courier New"/>
                <w:i/>
                <w:iCs/>
                <w:color w:val="000000"/>
                <w:sz w:val="18"/>
                <w:szCs w:val="18"/>
                <w:lang w:eastAsia="zh-CN"/>
              </w:rPr>
              <w:t>，</w:t>
            </w:r>
            <w:r>
              <w:rPr>
                <w:rFonts w:ascii="Courier New" w:hAnsi="Courier New" w:eastAsia="等线" w:cs="Courier New"/>
                <w:i/>
                <w:iCs/>
                <w:color w:val="000000"/>
                <w:sz w:val="18"/>
                <w:szCs w:val="18"/>
              </w:rPr>
              <w:t>应单独说明理由；3.其他资金包括：社会投入资金、银行贷款.</w:t>
            </w:r>
          </w:p>
        </w:tc>
      </w:tr>
      <w:tr w14:paraId="13478D88">
        <w:tblPrEx>
          <w:tblCellMar>
            <w:top w:w="0" w:type="dxa"/>
            <w:left w:w="108" w:type="dxa"/>
            <w:bottom w:w="0" w:type="dxa"/>
            <w:right w:w="108" w:type="dxa"/>
          </w:tblCellMar>
        </w:tblPrEx>
        <w:trPr>
          <w:trHeight w:val="390" w:hRule="atLeast"/>
        </w:trPr>
        <w:tc>
          <w:tcPr>
            <w:tcW w:w="300" w:type="dxa"/>
            <w:vMerge w:val="continue"/>
            <w:tcBorders>
              <w:top w:val="nil"/>
              <w:left w:val="single" w:color="000000" w:sz="4" w:space="0"/>
              <w:bottom w:val="single" w:color="000000" w:sz="4" w:space="0"/>
              <w:right w:val="single" w:color="000000" w:sz="4" w:space="0"/>
            </w:tcBorders>
            <w:vAlign w:val="center"/>
          </w:tcPr>
          <w:p w14:paraId="7E1A8FA8">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274F175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其中：财政资金</w:t>
            </w:r>
          </w:p>
        </w:tc>
        <w:tc>
          <w:tcPr>
            <w:tcW w:w="300" w:type="dxa"/>
            <w:tcBorders>
              <w:top w:val="nil"/>
              <w:left w:val="nil"/>
              <w:bottom w:val="single" w:color="000000" w:sz="4" w:space="0"/>
              <w:right w:val="single" w:color="000000" w:sz="4" w:space="0"/>
            </w:tcBorders>
            <w:shd w:val="clear" w:color="auto" w:fill="auto"/>
            <w:vAlign w:val="center"/>
          </w:tcPr>
          <w:p w14:paraId="69AA928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283AA86D">
            <w:pPr>
              <w:widowControl/>
              <w:autoSpaceDE/>
              <w:autoSpaceDN/>
              <w:adjustRightInd/>
              <w:jc w:val="center"/>
              <w:rPr>
                <w:rFonts w:ascii="宋体" w:hAnsi="宋体" w:cs="宋体"/>
                <w:color w:val="000000"/>
                <w:sz w:val="18"/>
                <w:szCs w:val="18"/>
              </w:rPr>
            </w:pPr>
            <w:r>
              <w:rPr>
                <w:rFonts w:ascii="宋体" w:hAnsi="宋体" w:cs="宋体"/>
                <w:color w:val="000000"/>
                <w:sz w:val="18"/>
                <w:szCs w:val="18"/>
              </w:rPr>
              <w:t>8.14</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2FF8C15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8.14</w:t>
            </w:r>
          </w:p>
        </w:tc>
        <w:tc>
          <w:tcPr>
            <w:tcW w:w="300" w:type="dxa"/>
            <w:tcBorders>
              <w:top w:val="nil"/>
              <w:left w:val="nil"/>
              <w:bottom w:val="single" w:color="000000" w:sz="4" w:space="0"/>
              <w:right w:val="single" w:color="000000" w:sz="4" w:space="0"/>
            </w:tcBorders>
            <w:shd w:val="clear" w:color="auto" w:fill="auto"/>
            <w:vAlign w:val="center"/>
          </w:tcPr>
          <w:p w14:paraId="20F8201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100.00%</w:t>
            </w:r>
          </w:p>
        </w:tc>
        <w:tc>
          <w:tcPr>
            <w:tcW w:w="3840" w:type="dxa"/>
            <w:tcBorders>
              <w:top w:val="nil"/>
              <w:left w:val="nil"/>
              <w:bottom w:val="single" w:color="000000" w:sz="4" w:space="0"/>
              <w:right w:val="single" w:color="000000" w:sz="4" w:space="0"/>
            </w:tcBorders>
            <w:shd w:val="clear" w:color="auto" w:fill="auto"/>
            <w:vAlign w:val="center"/>
          </w:tcPr>
          <w:p w14:paraId="4391DE8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5440B3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0E7FCB83">
            <w:pPr>
              <w:widowControl/>
              <w:autoSpaceDE/>
              <w:autoSpaceDN/>
              <w:adjustRightInd/>
              <w:rPr>
                <w:rFonts w:ascii="Courier New" w:hAnsi="Courier New" w:eastAsia="等线" w:cs="Courier New"/>
                <w:i/>
                <w:iCs/>
                <w:color w:val="000000"/>
                <w:sz w:val="18"/>
                <w:szCs w:val="18"/>
              </w:rPr>
            </w:pPr>
          </w:p>
        </w:tc>
      </w:tr>
      <w:tr w14:paraId="7AD00C0F">
        <w:tblPrEx>
          <w:tblCellMar>
            <w:top w:w="0" w:type="dxa"/>
            <w:left w:w="108" w:type="dxa"/>
            <w:bottom w:w="0" w:type="dxa"/>
            <w:right w:w="108" w:type="dxa"/>
          </w:tblCellMar>
        </w:tblPrEx>
        <w:trPr>
          <w:trHeight w:val="409" w:hRule="atLeast"/>
        </w:trPr>
        <w:tc>
          <w:tcPr>
            <w:tcW w:w="300" w:type="dxa"/>
            <w:vMerge w:val="continue"/>
            <w:tcBorders>
              <w:top w:val="nil"/>
              <w:left w:val="single" w:color="000000" w:sz="4" w:space="0"/>
              <w:bottom w:val="single" w:color="000000" w:sz="4" w:space="0"/>
              <w:right w:val="single" w:color="000000" w:sz="4" w:space="0"/>
            </w:tcBorders>
            <w:vAlign w:val="center"/>
          </w:tcPr>
          <w:p w14:paraId="009459C6">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1EE6D26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财政专户管理资金</w:t>
            </w:r>
          </w:p>
        </w:tc>
        <w:tc>
          <w:tcPr>
            <w:tcW w:w="300" w:type="dxa"/>
            <w:tcBorders>
              <w:top w:val="nil"/>
              <w:left w:val="nil"/>
              <w:bottom w:val="single" w:color="000000" w:sz="4" w:space="0"/>
              <w:right w:val="single" w:color="000000" w:sz="4" w:space="0"/>
            </w:tcBorders>
            <w:shd w:val="clear" w:color="auto" w:fill="auto"/>
            <w:vAlign w:val="center"/>
          </w:tcPr>
          <w:p w14:paraId="6902BED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5900A64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388A8F7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398CCEE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840" w:type="dxa"/>
            <w:tcBorders>
              <w:top w:val="nil"/>
              <w:left w:val="nil"/>
              <w:bottom w:val="single" w:color="000000" w:sz="4" w:space="0"/>
              <w:right w:val="single" w:color="000000" w:sz="4" w:space="0"/>
            </w:tcBorders>
            <w:shd w:val="clear" w:color="auto" w:fill="auto"/>
            <w:vAlign w:val="center"/>
          </w:tcPr>
          <w:p w14:paraId="61D154A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077D280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03137B24">
            <w:pPr>
              <w:widowControl/>
              <w:autoSpaceDE/>
              <w:autoSpaceDN/>
              <w:adjustRightInd/>
              <w:rPr>
                <w:rFonts w:ascii="Courier New" w:hAnsi="Courier New" w:eastAsia="等线" w:cs="Courier New"/>
                <w:i/>
                <w:iCs/>
                <w:color w:val="000000"/>
                <w:sz w:val="18"/>
                <w:szCs w:val="18"/>
              </w:rPr>
            </w:pPr>
          </w:p>
        </w:tc>
      </w:tr>
      <w:tr w14:paraId="12B54FE3">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14:paraId="2A37BFB9">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6AC7CE4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单位资金</w:t>
            </w:r>
          </w:p>
        </w:tc>
        <w:tc>
          <w:tcPr>
            <w:tcW w:w="300" w:type="dxa"/>
            <w:tcBorders>
              <w:top w:val="nil"/>
              <w:left w:val="nil"/>
              <w:bottom w:val="single" w:color="000000" w:sz="4" w:space="0"/>
              <w:right w:val="single" w:color="000000" w:sz="4" w:space="0"/>
            </w:tcBorders>
            <w:shd w:val="clear" w:color="auto" w:fill="auto"/>
            <w:vAlign w:val="center"/>
          </w:tcPr>
          <w:p w14:paraId="4084283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43BD082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7658583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7905C01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840" w:type="dxa"/>
            <w:tcBorders>
              <w:top w:val="nil"/>
              <w:left w:val="nil"/>
              <w:bottom w:val="single" w:color="000000" w:sz="4" w:space="0"/>
              <w:right w:val="single" w:color="000000" w:sz="4" w:space="0"/>
            </w:tcBorders>
            <w:shd w:val="clear" w:color="auto" w:fill="auto"/>
            <w:vAlign w:val="center"/>
          </w:tcPr>
          <w:p w14:paraId="3A1B111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0060B1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4860F867">
            <w:pPr>
              <w:widowControl/>
              <w:autoSpaceDE/>
              <w:autoSpaceDN/>
              <w:adjustRightInd/>
              <w:rPr>
                <w:rFonts w:ascii="Courier New" w:hAnsi="Courier New" w:eastAsia="等线" w:cs="Courier New"/>
                <w:i/>
                <w:iCs/>
                <w:color w:val="000000"/>
                <w:sz w:val="18"/>
                <w:szCs w:val="18"/>
              </w:rPr>
            </w:pPr>
          </w:p>
        </w:tc>
      </w:tr>
      <w:tr w14:paraId="477D78AC">
        <w:tblPrEx>
          <w:tblCellMar>
            <w:top w:w="0" w:type="dxa"/>
            <w:left w:w="108" w:type="dxa"/>
            <w:bottom w:w="0" w:type="dxa"/>
            <w:right w:w="108" w:type="dxa"/>
          </w:tblCellMar>
        </w:tblPrEx>
        <w:trPr>
          <w:trHeight w:val="338" w:hRule="atLeast"/>
        </w:trPr>
        <w:tc>
          <w:tcPr>
            <w:tcW w:w="300" w:type="dxa"/>
            <w:vMerge w:val="continue"/>
            <w:tcBorders>
              <w:top w:val="nil"/>
              <w:left w:val="single" w:color="000000" w:sz="4" w:space="0"/>
              <w:bottom w:val="single" w:color="000000" w:sz="4" w:space="0"/>
              <w:right w:val="single" w:color="000000" w:sz="4" w:space="0"/>
            </w:tcBorders>
            <w:vAlign w:val="center"/>
          </w:tcPr>
          <w:p w14:paraId="179EDBC4">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1641ED6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其他资金</w:t>
            </w:r>
          </w:p>
        </w:tc>
        <w:tc>
          <w:tcPr>
            <w:tcW w:w="300" w:type="dxa"/>
            <w:tcBorders>
              <w:top w:val="nil"/>
              <w:left w:val="nil"/>
              <w:bottom w:val="single" w:color="000000" w:sz="4" w:space="0"/>
              <w:right w:val="single" w:color="000000" w:sz="4" w:space="0"/>
            </w:tcBorders>
            <w:shd w:val="clear" w:color="auto" w:fill="auto"/>
            <w:vAlign w:val="center"/>
          </w:tcPr>
          <w:p w14:paraId="67CAB3B5">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00" w:type="dxa"/>
            <w:tcBorders>
              <w:top w:val="nil"/>
              <w:left w:val="nil"/>
              <w:bottom w:val="single" w:color="000000" w:sz="4" w:space="0"/>
              <w:right w:val="single" w:color="000000" w:sz="4" w:space="0"/>
            </w:tcBorders>
            <w:shd w:val="clear" w:color="auto" w:fill="auto"/>
            <w:vAlign w:val="center"/>
          </w:tcPr>
          <w:p w14:paraId="3671D32C">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58C6ED19">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00" w:type="dxa"/>
            <w:tcBorders>
              <w:top w:val="nil"/>
              <w:left w:val="nil"/>
              <w:bottom w:val="single" w:color="000000" w:sz="4" w:space="0"/>
              <w:right w:val="single" w:color="000000" w:sz="4" w:space="0"/>
            </w:tcBorders>
            <w:shd w:val="clear" w:color="auto" w:fill="auto"/>
            <w:vAlign w:val="center"/>
          </w:tcPr>
          <w:p w14:paraId="3BE6E8B8">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840" w:type="dxa"/>
            <w:tcBorders>
              <w:top w:val="nil"/>
              <w:left w:val="nil"/>
              <w:bottom w:val="single" w:color="000000" w:sz="4" w:space="0"/>
              <w:right w:val="single" w:color="000000" w:sz="4" w:space="0"/>
            </w:tcBorders>
            <w:shd w:val="clear" w:color="auto" w:fill="auto"/>
            <w:vAlign w:val="center"/>
          </w:tcPr>
          <w:p w14:paraId="1C69694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635FA8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5F044236">
            <w:pPr>
              <w:widowControl/>
              <w:autoSpaceDE/>
              <w:autoSpaceDN/>
              <w:adjustRightInd/>
              <w:rPr>
                <w:rFonts w:ascii="Courier New" w:hAnsi="Courier New" w:eastAsia="等线" w:cs="Courier New"/>
                <w:i/>
                <w:iCs/>
                <w:color w:val="000000"/>
                <w:sz w:val="18"/>
                <w:szCs w:val="18"/>
              </w:rPr>
            </w:pPr>
          </w:p>
        </w:tc>
      </w:tr>
      <w:tr w14:paraId="183599D0">
        <w:tblPrEx>
          <w:tblCellMar>
            <w:top w:w="0" w:type="dxa"/>
            <w:left w:w="108" w:type="dxa"/>
            <w:bottom w:w="0" w:type="dxa"/>
            <w:right w:w="108" w:type="dxa"/>
          </w:tblCellMar>
        </w:tblPrEx>
        <w:trPr>
          <w:trHeight w:val="454"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3DB56EE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绩效指标（90分）</w:t>
            </w:r>
          </w:p>
        </w:tc>
        <w:tc>
          <w:tcPr>
            <w:tcW w:w="300" w:type="dxa"/>
            <w:tcBorders>
              <w:top w:val="nil"/>
              <w:left w:val="nil"/>
              <w:bottom w:val="single" w:color="000000" w:sz="4" w:space="0"/>
              <w:right w:val="single" w:color="000000" w:sz="4" w:space="0"/>
            </w:tcBorders>
            <w:shd w:val="clear" w:color="auto" w:fill="auto"/>
            <w:vAlign w:val="center"/>
          </w:tcPr>
          <w:p w14:paraId="681C6D0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一级指标</w:t>
            </w:r>
          </w:p>
        </w:tc>
        <w:tc>
          <w:tcPr>
            <w:tcW w:w="300" w:type="dxa"/>
            <w:tcBorders>
              <w:top w:val="nil"/>
              <w:left w:val="nil"/>
              <w:bottom w:val="single" w:color="000000" w:sz="4" w:space="0"/>
              <w:right w:val="single" w:color="000000" w:sz="4" w:space="0"/>
            </w:tcBorders>
            <w:shd w:val="clear" w:color="auto" w:fill="auto"/>
            <w:vAlign w:val="center"/>
          </w:tcPr>
          <w:p w14:paraId="2AECB11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二级指标</w:t>
            </w:r>
          </w:p>
        </w:tc>
        <w:tc>
          <w:tcPr>
            <w:tcW w:w="300" w:type="dxa"/>
            <w:tcBorders>
              <w:top w:val="nil"/>
              <w:left w:val="nil"/>
              <w:bottom w:val="single" w:color="000000" w:sz="4" w:space="0"/>
              <w:right w:val="single" w:color="000000" w:sz="4" w:space="0"/>
            </w:tcBorders>
            <w:shd w:val="clear" w:color="auto" w:fill="auto"/>
            <w:vAlign w:val="center"/>
          </w:tcPr>
          <w:p w14:paraId="34D4BFB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三级指标</w:t>
            </w:r>
          </w:p>
        </w:tc>
        <w:tc>
          <w:tcPr>
            <w:tcW w:w="300" w:type="dxa"/>
            <w:tcBorders>
              <w:top w:val="nil"/>
              <w:left w:val="nil"/>
              <w:bottom w:val="single" w:color="000000" w:sz="4" w:space="0"/>
              <w:right w:val="single" w:color="000000" w:sz="4" w:space="0"/>
            </w:tcBorders>
            <w:shd w:val="clear" w:color="auto" w:fill="auto"/>
            <w:vAlign w:val="center"/>
          </w:tcPr>
          <w:p w14:paraId="5A46AA2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指标性质</w:t>
            </w:r>
          </w:p>
        </w:tc>
        <w:tc>
          <w:tcPr>
            <w:tcW w:w="300" w:type="dxa"/>
            <w:tcBorders>
              <w:top w:val="nil"/>
              <w:left w:val="nil"/>
              <w:bottom w:val="single" w:color="000000" w:sz="4" w:space="0"/>
              <w:right w:val="single" w:color="000000" w:sz="4" w:space="0"/>
            </w:tcBorders>
            <w:shd w:val="clear" w:color="auto" w:fill="auto"/>
            <w:vAlign w:val="center"/>
          </w:tcPr>
          <w:p w14:paraId="0C44B4B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指标值</w:t>
            </w:r>
          </w:p>
        </w:tc>
        <w:tc>
          <w:tcPr>
            <w:tcW w:w="300" w:type="dxa"/>
            <w:tcBorders>
              <w:top w:val="nil"/>
              <w:left w:val="nil"/>
              <w:bottom w:val="single" w:color="000000" w:sz="4" w:space="0"/>
              <w:right w:val="single" w:color="000000" w:sz="4" w:space="0"/>
            </w:tcBorders>
            <w:shd w:val="clear" w:color="auto" w:fill="auto"/>
            <w:vAlign w:val="center"/>
          </w:tcPr>
          <w:p w14:paraId="5476ED1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度量单位</w:t>
            </w:r>
          </w:p>
        </w:tc>
        <w:tc>
          <w:tcPr>
            <w:tcW w:w="300" w:type="dxa"/>
            <w:tcBorders>
              <w:top w:val="nil"/>
              <w:left w:val="nil"/>
              <w:bottom w:val="single" w:color="000000" w:sz="4" w:space="0"/>
              <w:right w:val="single" w:color="000000" w:sz="4" w:space="0"/>
            </w:tcBorders>
            <w:shd w:val="clear" w:color="auto" w:fill="auto"/>
            <w:vAlign w:val="center"/>
          </w:tcPr>
          <w:p w14:paraId="7A4E00A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完成值</w:t>
            </w:r>
          </w:p>
        </w:tc>
        <w:tc>
          <w:tcPr>
            <w:tcW w:w="3840" w:type="dxa"/>
            <w:tcBorders>
              <w:top w:val="nil"/>
              <w:left w:val="nil"/>
              <w:bottom w:val="single" w:color="000000" w:sz="4" w:space="0"/>
              <w:right w:val="single" w:color="000000" w:sz="4" w:space="0"/>
            </w:tcBorders>
            <w:shd w:val="clear" w:color="auto" w:fill="auto"/>
            <w:vAlign w:val="center"/>
          </w:tcPr>
          <w:p w14:paraId="0534865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78CF16D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14:paraId="48BB3B8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未完成原因分析</w:t>
            </w:r>
          </w:p>
        </w:tc>
      </w:tr>
      <w:tr w14:paraId="1D234CC8">
        <w:tblPrEx>
          <w:tblCellMar>
            <w:top w:w="0" w:type="dxa"/>
            <w:left w:w="108" w:type="dxa"/>
            <w:bottom w:w="0" w:type="dxa"/>
            <w:right w:w="108" w:type="dxa"/>
          </w:tblCellMar>
        </w:tblPrEx>
        <w:trPr>
          <w:trHeight w:val="338" w:hRule="atLeast"/>
        </w:trPr>
        <w:tc>
          <w:tcPr>
            <w:tcW w:w="300" w:type="dxa"/>
            <w:vMerge w:val="continue"/>
            <w:tcBorders>
              <w:top w:val="nil"/>
              <w:left w:val="single" w:color="000000" w:sz="4" w:space="0"/>
              <w:bottom w:val="single" w:color="000000" w:sz="4" w:space="0"/>
              <w:right w:val="single" w:color="000000" w:sz="4" w:space="0"/>
            </w:tcBorders>
            <w:vAlign w:val="center"/>
          </w:tcPr>
          <w:p w14:paraId="0F4E6826">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3018728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0198998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7C225AA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74B31A6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62CDF59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633B092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70C43156">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840" w:type="dxa"/>
            <w:tcBorders>
              <w:top w:val="nil"/>
              <w:left w:val="nil"/>
              <w:bottom w:val="single" w:color="000000" w:sz="4" w:space="0"/>
              <w:right w:val="single" w:color="000000" w:sz="4" w:space="0"/>
            </w:tcBorders>
            <w:shd w:val="clear" w:color="auto" w:fill="auto"/>
            <w:vAlign w:val="center"/>
          </w:tcPr>
          <w:p w14:paraId="3FBA6C9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14:paraId="6C9A1EB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14:paraId="347D478A">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r>
      <w:tr w14:paraId="4803F956">
        <w:tblPrEx>
          <w:tblCellMar>
            <w:top w:w="0" w:type="dxa"/>
            <w:left w:w="108" w:type="dxa"/>
            <w:bottom w:w="0" w:type="dxa"/>
            <w:right w:w="108" w:type="dxa"/>
          </w:tblCellMar>
        </w:tblPrEx>
        <w:trPr>
          <w:trHeight w:val="285" w:hRule="atLeast"/>
        </w:trPr>
        <w:tc>
          <w:tcPr>
            <w:tcW w:w="2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B53B4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合计</w:t>
            </w:r>
          </w:p>
        </w:tc>
        <w:tc>
          <w:tcPr>
            <w:tcW w:w="3840" w:type="dxa"/>
            <w:tcBorders>
              <w:top w:val="nil"/>
              <w:left w:val="nil"/>
              <w:bottom w:val="single" w:color="000000" w:sz="4" w:space="0"/>
              <w:right w:val="single" w:color="000000" w:sz="4" w:space="0"/>
            </w:tcBorders>
            <w:shd w:val="clear" w:color="auto" w:fill="auto"/>
            <w:vAlign w:val="center"/>
          </w:tcPr>
          <w:p w14:paraId="6E9F503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7431B3B1">
            <w:pPr>
              <w:widowControl/>
              <w:autoSpaceDE/>
              <w:autoSpaceDN/>
              <w:adjustRightInd/>
              <w:rPr>
                <w:rFonts w:ascii="宋体" w:hAnsi="宋体" w:cs="宋体"/>
                <w:color w:val="000000"/>
                <w:sz w:val="18"/>
                <w:szCs w:val="18"/>
              </w:rPr>
            </w:pPr>
            <w:r>
              <w:rPr>
                <w:rFonts w:ascii="宋体" w:hAnsi="宋体" w:cs="宋体"/>
                <w:color w:val="00000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14:paraId="0E8C3EC2">
            <w:pPr>
              <w:widowControl/>
              <w:autoSpaceDE/>
              <w:autoSpaceDN/>
              <w:adjustRightInd/>
              <w:rPr>
                <w:rFonts w:ascii="宋体" w:hAnsi="宋体" w:cs="宋体"/>
                <w:color w:val="000000"/>
                <w:sz w:val="18"/>
                <w:szCs w:val="18"/>
              </w:rPr>
            </w:pPr>
            <w:r>
              <w:rPr>
                <w:rFonts w:ascii="宋体" w:hAnsi="宋体" w:cs="宋体"/>
                <w:color w:val="000000"/>
                <w:sz w:val="18"/>
                <w:szCs w:val="18"/>
              </w:rPr>
              <w:t>　</w:t>
            </w:r>
          </w:p>
        </w:tc>
      </w:tr>
      <w:tr w14:paraId="4FA7D519">
        <w:tblPrEx>
          <w:tblCellMar>
            <w:top w:w="0" w:type="dxa"/>
            <w:left w:w="108" w:type="dxa"/>
            <w:bottom w:w="0" w:type="dxa"/>
            <w:right w:w="108" w:type="dxa"/>
          </w:tblCellMar>
        </w:tblPrEx>
        <w:trPr>
          <w:trHeight w:val="60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1F44BAA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评价结论</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71B24660">
            <w:pPr>
              <w:widowControl/>
              <w:autoSpaceDE/>
              <w:autoSpaceDN/>
              <w:adjustRightInd/>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本项目的经费严格按照资金管理使用办法支出的范围使用。统一核算，按照项目计划安排和实际工作情况开支，做到了专款专用。</w:t>
            </w:r>
          </w:p>
        </w:tc>
      </w:tr>
      <w:tr w14:paraId="4773972D">
        <w:tblPrEx>
          <w:tblCellMar>
            <w:top w:w="0" w:type="dxa"/>
            <w:left w:w="108" w:type="dxa"/>
            <w:bottom w:w="0" w:type="dxa"/>
            <w:right w:w="108" w:type="dxa"/>
          </w:tblCellMar>
        </w:tblPrEx>
        <w:trPr>
          <w:trHeight w:val="57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083978F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存在问题</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667177B2">
            <w:pPr>
              <w:widowControl/>
              <w:autoSpaceDE/>
              <w:autoSpaceDN/>
              <w:adjustRightInd/>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无</w:t>
            </w:r>
          </w:p>
        </w:tc>
      </w:tr>
      <w:tr w14:paraId="6A8F4045">
        <w:tblPrEx>
          <w:tblCellMar>
            <w:top w:w="0" w:type="dxa"/>
            <w:left w:w="108" w:type="dxa"/>
            <w:bottom w:w="0" w:type="dxa"/>
            <w:right w:w="108" w:type="dxa"/>
          </w:tblCellMar>
        </w:tblPrEx>
        <w:trPr>
          <w:trHeight w:val="63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133DFB5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改进措施</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710C6FAF">
            <w:pPr>
              <w:widowControl/>
              <w:autoSpaceDE/>
              <w:autoSpaceDN/>
              <w:adjustRightInd/>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无</w:t>
            </w:r>
          </w:p>
        </w:tc>
      </w:tr>
      <w:tr w14:paraId="701ADC31">
        <w:tblPrEx>
          <w:tblCellMar>
            <w:top w:w="0" w:type="dxa"/>
            <w:left w:w="108" w:type="dxa"/>
            <w:bottom w:w="0" w:type="dxa"/>
            <w:right w:w="108" w:type="dxa"/>
          </w:tblCellMar>
        </w:tblPrEx>
        <w:trPr>
          <w:trHeight w:val="285" w:hRule="atLeast"/>
        </w:trPr>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7C507">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项目负责人：杨科</w:t>
            </w:r>
          </w:p>
        </w:tc>
        <w:tc>
          <w:tcPr>
            <w:tcW w:w="7760" w:type="dxa"/>
            <w:gridSpan w:val="6"/>
            <w:tcBorders>
              <w:top w:val="single" w:color="000000" w:sz="4" w:space="0"/>
              <w:left w:val="nil"/>
              <w:bottom w:val="single" w:color="000000" w:sz="4" w:space="0"/>
              <w:right w:val="single" w:color="000000" w:sz="4" w:space="0"/>
            </w:tcBorders>
            <w:shd w:val="clear" w:color="auto" w:fill="auto"/>
            <w:vAlign w:val="center"/>
          </w:tcPr>
          <w:p w14:paraId="2558A042">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财务负责人：何成</w:t>
            </w:r>
          </w:p>
        </w:tc>
      </w:tr>
      <w:tr w14:paraId="17656711">
        <w:tblPrEx>
          <w:tblCellMar>
            <w:top w:w="0" w:type="dxa"/>
            <w:left w:w="108" w:type="dxa"/>
            <w:bottom w:w="0" w:type="dxa"/>
            <w:right w:w="108" w:type="dxa"/>
          </w:tblCellMar>
        </w:tblPrEx>
        <w:trPr>
          <w:trHeight w:val="285" w:hRule="atLeast"/>
        </w:trPr>
        <w:tc>
          <w:tcPr>
            <w:tcW w:w="300" w:type="dxa"/>
            <w:tcBorders>
              <w:top w:val="nil"/>
              <w:left w:val="nil"/>
              <w:bottom w:val="nil"/>
              <w:right w:val="nil"/>
            </w:tcBorders>
            <w:shd w:val="clear" w:color="auto" w:fill="auto"/>
            <w:vAlign w:val="center"/>
          </w:tcPr>
          <w:p w14:paraId="2418F79A">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68A460F7">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0FCA1374">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7DECA128">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1E5854A4">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784F707A">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72F7F183">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31F9D7A2">
            <w:pPr>
              <w:widowControl/>
              <w:autoSpaceDE/>
              <w:autoSpaceDN/>
              <w:adjustRightInd/>
              <w:rPr>
                <w:rFonts w:ascii="宋体" w:hAnsi="宋体" w:cs="宋体"/>
                <w:sz w:val="18"/>
                <w:szCs w:val="18"/>
              </w:rPr>
            </w:pPr>
            <w:r>
              <w:rPr>
                <w:rFonts w:ascii="宋体" w:hAnsi="宋体" w:cs="宋体"/>
                <w:sz w:val="18"/>
                <w:szCs w:val="18"/>
              </w:rPr>
              <w:t>　</w:t>
            </w:r>
          </w:p>
        </w:tc>
        <w:tc>
          <w:tcPr>
            <w:tcW w:w="3840" w:type="dxa"/>
            <w:tcBorders>
              <w:top w:val="nil"/>
              <w:left w:val="nil"/>
              <w:bottom w:val="nil"/>
              <w:right w:val="nil"/>
            </w:tcBorders>
            <w:shd w:val="clear" w:color="auto" w:fill="auto"/>
            <w:vAlign w:val="center"/>
          </w:tcPr>
          <w:p w14:paraId="5FDAB870">
            <w:pPr>
              <w:widowControl/>
              <w:autoSpaceDE/>
              <w:autoSpaceDN/>
              <w:adjustRightInd/>
              <w:rPr>
                <w:rFonts w:ascii="宋体" w:hAnsi="宋体" w:cs="宋体"/>
                <w:sz w:val="18"/>
                <w:szCs w:val="18"/>
              </w:rPr>
            </w:pPr>
            <w:r>
              <w:rPr>
                <w:rFonts w:ascii="宋体" w:hAnsi="宋体" w:cs="宋体"/>
                <w:sz w:val="18"/>
                <w:szCs w:val="18"/>
              </w:rPr>
              <w:t>　</w:t>
            </w:r>
          </w:p>
        </w:tc>
        <w:tc>
          <w:tcPr>
            <w:tcW w:w="460" w:type="dxa"/>
            <w:tcBorders>
              <w:top w:val="nil"/>
              <w:left w:val="nil"/>
              <w:bottom w:val="nil"/>
              <w:right w:val="nil"/>
            </w:tcBorders>
            <w:shd w:val="clear" w:color="auto" w:fill="auto"/>
            <w:vAlign w:val="center"/>
          </w:tcPr>
          <w:p w14:paraId="609DD28F">
            <w:pPr>
              <w:widowControl/>
              <w:autoSpaceDE/>
              <w:autoSpaceDN/>
              <w:adjustRightInd/>
              <w:rPr>
                <w:rFonts w:ascii="宋体" w:hAnsi="宋体" w:cs="宋体"/>
                <w:sz w:val="18"/>
                <w:szCs w:val="18"/>
              </w:rPr>
            </w:pPr>
            <w:r>
              <w:rPr>
                <w:rFonts w:ascii="宋体" w:hAnsi="宋体" w:cs="宋体"/>
                <w:sz w:val="18"/>
                <w:szCs w:val="18"/>
              </w:rPr>
              <w:t>　</w:t>
            </w:r>
          </w:p>
        </w:tc>
        <w:tc>
          <w:tcPr>
            <w:tcW w:w="2560" w:type="dxa"/>
            <w:tcBorders>
              <w:top w:val="nil"/>
              <w:left w:val="nil"/>
              <w:bottom w:val="nil"/>
              <w:right w:val="nil"/>
            </w:tcBorders>
            <w:shd w:val="clear" w:color="auto" w:fill="auto"/>
            <w:vAlign w:val="center"/>
          </w:tcPr>
          <w:p w14:paraId="10FA8BB3">
            <w:pPr>
              <w:widowControl/>
              <w:autoSpaceDE/>
              <w:autoSpaceDN/>
              <w:adjustRightInd/>
              <w:rPr>
                <w:rFonts w:ascii="宋体" w:hAnsi="宋体" w:cs="宋体"/>
                <w:sz w:val="18"/>
                <w:szCs w:val="18"/>
              </w:rPr>
            </w:pPr>
            <w:r>
              <w:rPr>
                <w:rFonts w:ascii="宋体" w:hAnsi="宋体" w:cs="宋体"/>
                <w:sz w:val="18"/>
                <w:szCs w:val="18"/>
              </w:rPr>
              <w:t>　</w:t>
            </w:r>
          </w:p>
        </w:tc>
      </w:tr>
      <w:tr w14:paraId="2EF5E1E4">
        <w:tblPrEx>
          <w:tblCellMar>
            <w:top w:w="0" w:type="dxa"/>
            <w:left w:w="108" w:type="dxa"/>
            <w:bottom w:w="0" w:type="dxa"/>
            <w:right w:w="108" w:type="dxa"/>
          </w:tblCellMar>
        </w:tblPrEx>
        <w:trPr>
          <w:trHeight w:val="904" w:hRule="atLeast"/>
        </w:trPr>
        <w:tc>
          <w:tcPr>
            <w:tcW w:w="92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FB9ADA">
            <w:pPr>
              <w:widowControl/>
              <w:autoSpaceDE/>
              <w:autoSpaceDN/>
              <w:adjustRightInd/>
              <w:jc w:val="center"/>
              <w:rPr>
                <w:rFonts w:ascii="黑体" w:hAnsi="黑体" w:eastAsia="黑体" w:cs="宋体"/>
                <w:b/>
                <w:bCs/>
                <w:color w:val="000000"/>
                <w:sz w:val="30"/>
                <w:szCs w:val="30"/>
              </w:rPr>
            </w:pPr>
            <w:r>
              <w:rPr>
                <w:rFonts w:ascii="黑体" w:hAnsi="黑体" w:eastAsia="黑体" w:cs="宋体"/>
                <w:b/>
                <w:bCs/>
                <w:color w:val="000000"/>
                <w:sz w:val="30"/>
                <w:szCs w:val="30"/>
              </w:rPr>
              <w:t>部门预算项目支出绩效自评表（2023年度）</w:t>
            </w:r>
          </w:p>
        </w:tc>
      </w:tr>
      <w:tr w14:paraId="0D09AF51">
        <w:tblPrEx>
          <w:tblCellMar>
            <w:top w:w="0" w:type="dxa"/>
            <w:left w:w="108" w:type="dxa"/>
            <w:bottom w:w="0" w:type="dxa"/>
            <w:right w:w="108" w:type="dxa"/>
          </w:tblCellMar>
        </w:tblPrEx>
        <w:trPr>
          <w:trHeight w:val="285"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EF824">
            <w:pPr>
              <w:widowControl/>
              <w:autoSpaceDE/>
              <w:autoSpaceDN/>
              <w:adjustRightInd/>
              <w:rPr>
                <w:rFonts w:ascii="宋体" w:hAnsi="宋体" w:cs="宋体"/>
                <w:color w:val="000000"/>
                <w:sz w:val="18"/>
                <w:szCs w:val="18"/>
              </w:rPr>
            </w:pPr>
            <w:r>
              <w:rPr>
                <w:rFonts w:ascii="宋体" w:hAnsi="宋体" w:cs="宋体"/>
                <w:color w:val="000000"/>
                <w:sz w:val="18"/>
                <w:szCs w:val="18"/>
              </w:rPr>
              <w:t>项目名称</w:t>
            </w:r>
          </w:p>
        </w:tc>
        <w:tc>
          <w:tcPr>
            <w:tcW w:w="8660" w:type="dxa"/>
            <w:gridSpan w:val="9"/>
            <w:tcBorders>
              <w:top w:val="single" w:color="000000" w:sz="4" w:space="0"/>
              <w:left w:val="nil"/>
              <w:bottom w:val="single" w:color="000000" w:sz="4" w:space="0"/>
              <w:right w:val="single" w:color="000000" w:sz="4" w:space="0"/>
            </w:tcBorders>
            <w:shd w:val="clear" w:color="auto" w:fill="auto"/>
            <w:vAlign w:val="center"/>
          </w:tcPr>
          <w:p w14:paraId="2A9C8482">
            <w:pPr>
              <w:widowControl/>
              <w:autoSpaceDE/>
              <w:autoSpaceDN/>
              <w:adjustRightInd/>
              <w:rPr>
                <w:rFonts w:ascii="宋体" w:hAnsi="宋体" w:cs="宋体"/>
                <w:color w:val="000000"/>
                <w:sz w:val="18"/>
                <w:szCs w:val="18"/>
              </w:rPr>
            </w:pPr>
            <w:r>
              <w:rPr>
                <w:rFonts w:ascii="宋体" w:hAnsi="宋体" w:cs="宋体"/>
                <w:color w:val="000000"/>
                <w:sz w:val="18"/>
                <w:szCs w:val="18"/>
              </w:rPr>
              <w:t>51098123T000009718752-2021年射洪市仁和镇初级中学校维修工程</w:t>
            </w:r>
          </w:p>
        </w:tc>
      </w:tr>
      <w:tr w14:paraId="6C28BB4B">
        <w:tblPrEx>
          <w:tblCellMar>
            <w:top w:w="0" w:type="dxa"/>
            <w:left w:w="108" w:type="dxa"/>
            <w:bottom w:w="0" w:type="dxa"/>
            <w:right w:w="108" w:type="dxa"/>
          </w:tblCellMar>
        </w:tblPrEx>
        <w:trPr>
          <w:trHeight w:val="514"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767DB">
            <w:pPr>
              <w:widowControl/>
              <w:autoSpaceDE/>
              <w:autoSpaceDN/>
              <w:adjustRightInd/>
              <w:rPr>
                <w:rFonts w:ascii="宋体" w:hAnsi="宋体" w:cs="宋体"/>
                <w:color w:val="000000"/>
                <w:sz w:val="18"/>
                <w:szCs w:val="18"/>
              </w:rPr>
            </w:pPr>
            <w:r>
              <w:rPr>
                <w:rFonts w:ascii="宋体" w:hAnsi="宋体" w:cs="宋体"/>
                <w:color w:val="000000"/>
                <w:sz w:val="18"/>
                <w:szCs w:val="18"/>
              </w:rPr>
              <w:t>主管部门</w:t>
            </w: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079ADB5C">
            <w:pPr>
              <w:widowControl/>
              <w:autoSpaceDE/>
              <w:autoSpaceDN/>
              <w:adjustRightInd/>
              <w:rPr>
                <w:rFonts w:ascii="宋体" w:hAnsi="宋体" w:cs="宋体"/>
                <w:color w:val="000000"/>
                <w:sz w:val="18"/>
                <w:szCs w:val="18"/>
              </w:rPr>
            </w:pPr>
            <w:r>
              <w:rPr>
                <w:rFonts w:ascii="宋体" w:hAnsi="宋体" w:cs="宋体"/>
                <w:color w:val="000000"/>
                <w:sz w:val="18"/>
                <w:szCs w:val="18"/>
              </w:rPr>
              <w:t>射洪市教育和体育局部门</w:t>
            </w:r>
          </w:p>
        </w:tc>
        <w:tc>
          <w:tcPr>
            <w:tcW w:w="300" w:type="dxa"/>
            <w:tcBorders>
              <w:top w:val="nil"/>
              <w:left w:val="nil"/>
              <w:bottom w:val="nil"/>
              <w:right w:val="nil"/>
            </w:tcBorders>
            <w:shd w:val="clear" w:color="auto" w:fill="auto"/>
            <w:vAlign w:val="center"/>
          </w:tcPr>
          <w:p w14:paraId="660C214B">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实施单位 （盖章）</w:t>
            </w:r>
          </w:p>
        </w:tc>
        <w:tc>
          <w:tcPr>
            <w:tcW w:w="6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1658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射洪市仁和镇初级中学校</w:t>
            </w:r>
          </w:p>
        </w:tc>
      </w:tr>
      <w:tr w14:paraId="40709622">
        <w:tblPrEx>
          <w:tblCellMar>
            <w:top w:w="0" w:type="dxa"/>
            <w:left w:w="108" w:type="dxa"/>
            <w:bottom w:w="0" w:type="dxa"/>
            <w:right w:w="108" w:type="dxa"/>
          </w:tblCellMar>
        </w:tblPrEx>
        <w:trPr>
          <w:trHeight w:val="285"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68AAC975">
            <w:pPr>
              <w:widowControl/>
              <w:autoSpaceDE/>
              <w:autoSpaceDN/>
              <w:adjustRightInd/>
              <w:rPr>
                <w:rFonts w:ascii="宋体" w:hAnsi="宋体" w:cs="宋体"/>
                <w:color w:val="000000"/>
                <w:sz w:val="18"/>
                <w:szCs w:val="18"/>
              </w:rPr>
            </w:pPr>
            <w:r>
              <w:rPr>
                <w:rFonts w:ascii="宋体" w:hAnsi="宋体" w:cs="宋体"/>
                <w:color w:val="000000"/>
                <w:sz w:val="18"/>
                <w:szCs w:val="18"/>
              </w:rPr>
              <w:t>项目基本情况</w:t>
            </w:r>
          </w:p>
        </w:tc>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02388B80">
            <w:pPr>
              <w:widowControl/>
              <w:autoSpaceDE/>
              <w:autoSpaceDN/>
              <w:adjustRightInd/>
              <w:rPr>
                <w:rFonts w:ascii="宋体" w:hAnsi="宋体" w:cs="宋体"/>
                <w:color w:val="000000"/>
                <w:sz w:val="18"/>
                <w:szCs w:val="18"/>
              </w:rPr>
            </w:pPr>
            <w:r>
              <w:rPr>
                <w:rFonts w:ascii="宋体" w:hAnsi="宋体" w:cs="宋体"/>
                <w:color w:val="000000"/>
                <w:sz w:val="18"/>
                <w:szCs w:val="18"/>
              </w:rPr>
              <w:t>1.项目年度目标完成情况</w:t>
            </w: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1CD2C8A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项目年度目标</w:t>
            </w:r>
          </w:p>
        </w:tc>
        <w:tc>
          <w:tcPr>
            <w:tcW w:w="7160" w:type="dxa"/>
            <w:gridSpan w:val="4"/>
            <w:tcBorders>
              <w:top w:val="single" w:color="000000" w:sz="4" w:space="0"/>
              <w:left w:val="nil"/>
              <w:bottom w:val="single" w:color="000000" w:sz="4" w:space="0"/>
              <w:right w:val="single" w:color="000000" w:sz="4" w:space="0"/>
            </w:tcBorders>
            <w:shd w:val="clear" w:color="auto" w:fill="auto"/>
            <w:vAlign w:val="center"/>
          </w:tcPr>
          <w:p w14:paraId="39B3BF60">
            <w:pPr>
              <w:widowControl/>
              <w:autoSpaceDE/>
              <w:autoSpaceDN/>
              <w:adjustRightInd/>
              <w:jc w:val="center"/>
              <w:rPr>
                <w:rFonts w:ascii="Courier New" w:hAnsi="Courier New" w:eastAsia="等线" w:cs="Courier New"/>
                <w:color w:val="000000"/>
                <w:sz w:val="18"/>
                <w:szCs w:val="18"/>
              </w:rPr>
            </w:pPr>
            <w:r>
              <w:rPr>
                <w:rFonts w:ascii="Courier New" w:hAnsi="Courier New" w:eastAsia="等线" w:cs="Courier New"/>
                <w:color w:val="000000"/>
                <w:sz w:val="18"/>
                <w:szCs w:val="18"/>
              </w:rPr>
              <w:t>年度目标完成情况</w:t>
            </w:r>
          </w:p>
        </w:tc>
      </w:tr>
      <w:tr w14:paraId="6CFAA10F">
        <w:tblPrEx>
          <w:tblCellMar>
            <w:top w:w="0" w:type="dxa"/>
            <w:left w:w="108" w:type="dxa"/>
            <w:bottom w:w="0" w:type="dxa"/>
            <w:right w:w="108" w:type="dxa"/>
          </w:tblCellMar>
        </w:tblPrEx>
        <w:trPr>
          <w:trHeight w:val="709" w:hRule="atLeast"/>
        </w:trPr>
        <w:tc>
          <w:tcPr>
            <w:tcW w:w="300" w:type="dxa"/>
            <w:vMerge w:val="continue"/>
            <w:tcBorders>
              <w:top w:val="nil"/>
              <w:left w:val="single" w:color="000000" w:sz="4" w:space="0"/>
              <w:bottom w:val="single" w:color="000000" w:sz="4" w:space="0"/>
              <w:right w:val="single" w:color="000000" w:sz="4" w:space="0"/>
            </w:tcBorders>
            <w:vAlign w:val="center"/>
          </w:tcPr>
          <w:p w14:paraId="6E12E145">
            <w:pPr>
              <w:widowControl/>
              <w:autoSpaceDE/>
              <w:autoSpaceDN/>
              <w:adjustRightInd/>
              <w:rPr>
                <w:rFonts w:ascii="宋体" w:hAnsi="宋体" w:cs="宋体"/>
                <w:color w:val="000000"/>
                <w:sz w:val="18"/>
                <w:szCs w:val="18"/>
              </w:rPr>
            </w:pPr>
          </w:p>
        </w:tc>
        <w:tc>
          <w:tcPr>
            <w:tcW w:w="300" w:type="dxa"/>
            <w:vMerge w:val="continue"/>
            <w:tcBorders>
              <w:top w:val="nil"/>
              <w:left w:val="single" w:color="000000" w:sz="4" w:space="0"/>
              <w:bottom w:val="single" w:color="000000" w:sz="4" w:space="0"/>
              <w:right w:val="single" w:color="000000" w:sz="4" w:space="0"/>
            </w:tcBorders>
            <w:vAlign w:val="center"/>
          </w:tcPr>
          <w:p w14:paraId="04334661">
            <w:pPr>
              <w:widowControl/>
              <w:autoSpaceDE/>
              <w:autoSpaceDN/>
              <w:adjustRightInd/>
              <w:rPr>
                <w:rFonts w:ascii="宋体" w:hAnsi="宋体" w:cs="宋体"/>
                <w:color w:val="000000"/>
                <w:sz w:val="18"/>
                <w:szCs w:val="18"/>
              </w:rPr>
            </w:pP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09D96F4C">
            <w:pPr>
              <w:widowControl/>
              <w:autoSpaceDE/>
              <w:autoSpaceDN/>
              <w:adjustRightInd/>
              <w:rPr>
                <w:rFonts w:ascii="宋体" w:hAnsi="宋体" w:cs="宋体"/>
                <w:color w:val="000000"/>
                <w:sz w:val="18"/>
                <w:szCs w:val="18"/>
              </w:rPr>
            </w:pPr>
            <w:r>
              <w:rPr>
                <w:rFonts w:ascii="宋体" w:hAnsi="宋体" w:cs="宋体"/>
                <w:color w:val="000000"/>
                <w:sz w:val="18"/>
                <w:szCs w:val="18"/>
              </w:rPr>
              <w:t>按照工程进度完成</w:t>
            </w:r>
          </w:p>
        </w:tc>
        <w:tc>
          <w:tcPr>
            <w:tcW w:w="7160" w:type="dxa"/>
            <w:gridSpan w:val="4"/>
            <w:tcBorders>
              <w:top w:val="single" w:color="000000" w:sz="4" w:space="0"/>
              <w:left w:val="nil"/>
              <w:bottom w:val="single" w:color="000000" w:sz="4" w:space="0"/>
              <w:right w:val="single" w:color="000000" w:sz="4" w:space="0"/>
            </w:tcBorders>
            <w:shd w:val="clear" w:color="auto" w:fill="auto"/>
            <w:vAlign w:val="center"/>
          </w:tcPr>
          <w:p w14:paraId="6D4D0C97">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顺利完成、工程已竣工结算，完成支付。</w:t>
            </w:r>
          </w:p>
        </w:tc>
      </w:tr>
      <w:tr w14:paraId="5073C316">
        <w:tblPrEx>
          <w:tblCellMar>
            <w:top w:w="0" w:type="dxa"/>
            <w:left w:w="108" w:type="dxa"/>
            <w:bottom w:w="0" w:type="dxa"/>
            <w:right w:w="108" w:type="dxa"/>
          </w:tblCellMar>
        </w:tblPrEx>
        <w:trPr>
          <w:trHeight w:val="694" w:hRule="atLeast"/>
        </w:trPr>
        <w:tc>
          <w:tcPr>
            <w:tcW w:w="300" w:type="dxa"/>
            <w:vMerge w:val="continue"/>
            <w:tcBorders>
              <w:top w:val="nil"/>
              <w:left w:val="single" w:color="000000" w:sz="4" w:space="0"/>
              <w:bottom w:val="single" w:color="000000" w:sz="4" w:space="0"/>
              <w:right w:val="single" w:color="000000" w:sz="4" w:space="0"/>
            </w:tcBorders>
            <w:vAlign w:val="center"/>
          </w:tcPr>
          <w:p w14:paraId="1B06D4D1">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6DC4A204">
            <w:pPr>
              <w:widowControl/>
              <w:autoSpaceDE/>
              <w:autoSpaceDN/>
              <w:adjustRightInd/>
              <w:rPr>
                <w:rFonts w:ascii="宋体" w:hAnsi="宋体" w:cs="宋体"/>
                <w:color w:val="000000"/>
                <w:sz w:val="18"/>
                <w:szCs w:val="18"/>
              </w:rPr>
            </w:pPr>
            <w:r>
              <w:rPr>
                <w:rFonts w:ascii="宋体" w:hAnsi="宋体" w:cs="宋体"/>
                <w:color w:val="000000"/>
                <w:sz w:val="18"/>
                <w:szCs w:val="18"/>
              </w:rPr>
              <w:t>2.项目实施内容及过程概述</w:t>
            </w:r>
          </w:p>
        </w:tc>
        <w:tc>
          <w:tcPr>
            <w:tcW w:w="8660" w:type="dxa"/>
            <w:gridSpan w:val="9"/>
            <w:tcBorders>
              <w:top w:val="single" w:color="000000" w:sz="4" w:space="0"/>
              <w:left w:val="nil"/>
              <w:bottom w:val="single" w:color="000000" w:sz="4" w:space="0"/>
              <w:right w:val="single" w:color="000000" w:sz="4" w:space="0"/>
            </w:tcBorders>
            <w:shd w:val="clear" w:color="auto" w:fill="auto"/>
            <w:vAlign w:val="center"/>
          </w:tcPr>
          <w:p w14:paraId="552A13DE">
            <w:pPr>
              <w:widowControl/>
              <w:autoSpaceDE/>
              <w:autoSpaceDN/>
              <w:adjustRightInd/>
              <w:rPr>
                <w:rFonts w:ascii="宋体" w:hAnsi="宋体" w:cs="宋体"/>
                <w:color w:val="000000"/>
                <w:sz w:val="18"/>
                <w:szCs w:val="18"/>
              </w:rPr>
            </w:pPr>
            <w:r>
              <w:rPr>
                <w:rFonts w:ascii="宋体" w:hAnsi="宋体" w:cs="宋体"/>
                <w:color w:val="000000"/>
                <w:sz w:val="18"/>
                <w:szCs w:val="18"/>
              </w:rPr>
              <w:t>　</w:t>
            </w:r>
          </w:p>
        </w:tc>
      </w:tr>
      <w:tr w14:paraId="3C2D4AFF">
        <w:tblPrEx>
          <w:tblCellMar>
            <w:top w:w="0" w:type="dxa"/>
            <w:left w:w="108" w:type="dxa"/>
            <w:bottom w:w="0" w:type="dxa"/>
            <w:right w:w="108" w:type="dxa"/>
          </w:tblCellMar>
        </w:tblPrEx>
        <w:trPr>
          <w:trHeight w:val="360"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53226349">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预算执行情况（10分）</w:t>
            </w:r>
          </w:p>
        </w:tc>
        <w:tc>
          <w:tcPr>
            <w:tcW w:w="300" w:type="dxa"/>
            <w:tcBorders>
              <w:top w:val="nil"/>
              <w:left w:val="nil"/>
              <w:bottom w:val="single" w:color="000000" w:sz="4" w:space="0"/>
              <w:right w:val="single" w:color="000000" w:sz="4" w:space="0"/>
            </w:tcBorders>
            <w:shd w:val="clear" w:color="auto" w:fill="auto"/>
            <w:vAlign w:val="center"/>
          </w:tcPr>
          <w:p w14:paraId="6BCFB6F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年度预算数（万元）</w:t>
            </w:r>
          </w:p>
        </w:tc>
        <w:tc>
          <w:tcPr>
            <w:tcW w:w="300" w:type="dxa"/>
            <w:tcBorders>
              <w:top w:val="nil"/>
              <w:left w:val="nil"/>
              <w:bottom w:val="single" w:color="000000" w:sz="4" w:space="0"/>
              <w:right w:val="single" w:color="000000" w:sz="4" w:space="0"/>
            </w:tcBorders>
            <w:shd w:val="clear" w:color="auto" w:fill="auto"/>
            <w:vAlign w:val="center"/>
          </w:tcPr>
          <w:p w14:paraId="12C2018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年初预算</w:t>
            </w:r>
          </w:p>
        </w:tc>
        <w:tc>
          <w:tcPr>
            <w:tcW w:w="300" w:type="dxa"/>
            <w:tcBorders>
              <w:top w:val="nil"/>
              <w:left w:val="nil"/>
              <w:bottom w:val="single" w:color="000000" w:sz="4" w:space="0"/>
              <w:right w:val="single" w:color="000000" w:sz="4" w:space="0"/>
            </w:tcBorders>
            <w:shd w:val="clear" w:color="auto" w:fill="auto"/>
            <w:vAlign w:val="center"/>
          </w:tcPr>
          <w:p w14:paraId="64DFD23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调整后预算数</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3DBB9D6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预算执行数</w:t>
            </w:r>
          </w:p>
        </w:tc>
        <w:tc>
          <w:tcPr>
            <w:tcW w:w="300" w:type="dxa"/>
            <w:tcBorders>
              <w:top w:val="nil"/>
              <w:left w:val="nil"/>
              <w:bottom w:val="single" w:color="000000" w:sz="4" w:space="0"/>
              <w:right w:val="single" w:color="000000" w:sz="4" w:space="0"/>
            </w:tcBorders>
            <w:shd w:val="clear" w:color="auto" w:fill="auto"/>
            <w:vAlign w:val="center"/>
          </w:tcPr>
          <w:p w14:paraId="6437222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预算执行率</w:t>
            </w:r>
          </w:p>
        </w:tc>
        <w:tc>
          <w:tcPr>
            <w:tcW w:w="3840" w:type="dxa"/>
            <w:tcBorders>
              <w:top w:val="nil"/>
              <w:left w:val="nil"/>
              <w:bottom w:val="single" w:color="000000" w:sz="4" w:space="0"/>
              <w:right w:val="single" w:color="000000" w:sz="4" w:space="0"/>
            </w:tcBorders>
            <w:shd w:val="clear" w:color="auto" w:fill="auto"/>
            <w:vAlign w:val="center"/>
          </w:tcPr>
          <w:p w14:paraId="5A506CB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2E7A891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14:paraId="386AD13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原因</w:t>
            </w:r>
          </w:p>
        </w:tc>
      </w:tr>
      <w:tr w14:paraId="1DBF036C">
        <w:tblPrEx>
          <w:tblCellMar>
            <w:top w:w="0" w:type="dxa"/>
            <w:left w:w="108" w:type="dxa"/>
            <w:bottom w:w="0" w:type="dxa"/>
            <w:right w:w="108" w:type="dxa"/>
          </w:tblCellMar>
        </w:tblPrEx>
        <w:trPr>
          <w:trHeight w:val="345" w:hRule="atLeast"/>
        </w:trPr>
        <w:tc>
          <w:tcPr>
            <w:tcW w:w="300" w:type="dxa"/>
            <w:vMerge w:val="continue"/>
            <w:tcBorders>
              <w:top w:val="nil"/>
              <w:left w:val="single" w:color="000000" w:sz="4" w:space="0"/>
              <w:bottom w:val="single" w:color="000000" w:sz="4" w:space="0"/>
              <w:right w:val="single" w:color="000000" w:sz="4" w:space="0"/>
            </w:tcBorders>
            <w:vAlign w:val="center"/>
          </w:tcPr>
          <w:p w14:paraId="6F1EA1E0">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23B65B4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总额</w:t>
            </w:r>
          </w:p>
        </w:tc>
        <w:tc>
          <w:tcPr>
            <w:tcW w:w="300" w:type="dxa"/>
            <w:tcBorders>
              <w:top w:val="nil"/>
              <w:left w:val="nil"/>
              <w:bottom w:val="single" w:color="000000" w:sz="4" w:space="0"/>
              <w:right w:val="single" w:color="000000" w:sz="4" w:space="0"/>
            </w:tcBorders>
            <w:shd w:val="clear" w:color="auto" w:fill="auto"/>
            <w:vAlign w:val="center"/>
          </w:tcPr>
          <w:p w14:paraId="7D953779">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575FB7F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1.40</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3A8BC44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1.40</w:t>
            </w:r>
          </w:p>
        </w:tc>
        <w:tc>
          <w:tcPr>
            <w:tcW w:w="300" w:type="dxa"/>
            <w:tcBorders>
              <w:top w:val="nil"/>
              <w:left w:val="nil"/>
              <w:bottom w:val="single" w:color="000000" w:sz="4" w:space="0"/>
              <w:right w:val="single" w:color="000000" w:sz="4" w:space="0"/>
            </w:tcBorders>
            <w:shd w:val="clear" w:color="auto" w:fill="auto"/>
            <w:vAlign w:val="center"/>
          </w:tcPr>
          <w:p w14:paraId="7829975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100.00%</w:t>
            </w:r>
          </w:p>
        </w:tc>
        <w:tc>
          <w:tcPr>
            <w:tcW w:w="3840" w:type="dxa"/>
            <w:tcBorders>
              <w:top w:val="nil"/>
              <w:left w:val="nil"/>
              <w:bottom w:val="single" w:color="000000" w:sz="4" w:space="0"/>
              <w:right w:val="single" w:color="000000" w:sz="4" w:space="0"/>
            </w:tcBorders>
            <w:shd w:val="clear" w:color="auto" w:fill="auto"/>
            <w:vAlign w:val="center"/>
          </w:tcPr>
          <w:p w14:paraId="7E861FB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492147F9">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2560" w:type="dxa"/>
            <w:vMerge w:val="restart"/>
            <w:tcBorders>
              <w:top w:val="nil"/>
              <w:left w:val="single" w:color="000000" w:sz="4" w:space="0"/>
              <w:bottom w:val="single" w:color="000000" w:sz="4" w:space="0"/>
              <w:right w:val="single" w:color="000000" w:sz="4" w:space="0"/>
            </w:tcBorders>
            <w:shd w:val="clear" w:color="auto" w:fill="auto"/>
            <w:vAlign w:val="center"/>
          </w:tcPr>
          <w:p w14:paraId="59205477">
            <w:pPr>
              <w:widowControl/>
              <w:autoSpaceDE/>
              <w:autoSpaceDN/>
              <w:adjustRightInd/>
              <w:rPr>
                <w:rFonts w:ascii="Courier New" w:hAnsi="Courier New" w:eastAsia="等线" w:cs="Courier New"/>
                <w:i/>
                <w:iCs/>
                <w:color w:val="000000"/>
                <w:sz w:val="18"/>
                <w:szCs w:val="18"/>
              </w:rPr>
            </w:pPr>
            <w:r>
              <w:rPr>
                <w:rFonts w:ascii="Courier New" w:hAnsi="Courier New" w:eastAsia="等线" w:cs="Courier New"/>
                <w:i/>
                <w:iCs/>
                <w:color w:val="000000"/>
                <w:sz w:val="18"/>
                <w:szCs w:val="18"/>
              </w:rPr>
              <w:t>1.预算执行率=预算执行数/调整后预算数，预算执行率未达到90%的需说明原因（100字以内）</w:t>
            </w:r>
            <w:r>
              <w:rPr>
                <w:rFonts w:hint="eastAsia" w:ascii="Courier New" w:hAnsi="Courier New" w:eastAsia="等线" w:cs="Courier New"/>
                <w:i/>
                <w:iCs/>
                <w:color w:val="000000"/>
                <w:sz w:val="18"/>
                <w:szCs w:val="18"/>
                <w:lang w:eastAsia="zh-CN"/>
              </w:rPr>
              <w:t>；</w:t>
            </w:r>
            <w:r>
              <w:rPr>
                <w:rFonts w:ascii="Courier New" w:hAnsi="Courier New" w:eastAsia="等线" w:cs="Courier New"/>
                <w:i/>
                <w:iCs/>
                <w:color w:val="000000"/>
                <w:sz w:val="18"/>
                <w:szCs w:val="18"/>
              </w:rPr>
              <w:t>2.年中发生预算调整的（追加或调减）</w:t>
            </w:r>
            <w:r>
              <w:rPr>
                <w:rFonts w:hint="eastAsia" w:ascii="Courier New" w:hAnsi="Courier New" w:eastAsia="等线" w:cs="Courier New"/>
                <w:i/>
                <w:iCs/>
                <w:color w:val="000000"/>
                <w:sz w:val="18"/>
                <w:szCs w:val="18"/>
                <w:lang w:eastAsia="zh-CN"/>
              </w:rPr>
              <w:t>，</w:t>
            </w:r>
            <w:r>
              <w:rPr>
                <w:rFonts w:ascii="Courier New" w:hAnsi="Courier New" w:eastAsia="等线" w:cs="Courier New"/>
                <w:i/>
                <w:iCs/>
                <w:color w:val="000000"/>
                <w:sz w:val="18"/>
                <w:szCs w:val="18"/>
              </w:rPr>
              <w:t>应单独说明理由；3.其他资金包括：社会投入资金、银行贷款.</w:t>
            </w:r>
          </w:p>
        </w:tc>
      </w:tr>
      <w:tr w14:paraId="422697DF">
        <w:tblPrEx>
          <w:tblCellMar>
            <w:top w:w="0" w:type="dxa"/>
            <w:left w:w="108" w:type="dxa"/>
            <w:bottom w:w="0" w:type="dxa"/>
            <w:right w:w="108" w:type="dxa"/>
          </w:tblCellMar>
        </w:tblPrEx>
        <w:trPr>
          <w:trHeight w:val="390" w:hRule="atLeast"/>
        </w:trPr>
        <w:tc>
          <w:tcPr>
            <w:tcW w:w="300" w:type="dxa"/>
            <w:vMerge w:val="continue"/>
            <w:tcBorders>
              <w:top w:val="nil"/>
              <w:left w:val="single" w:color="000000" w:sz="4" w:space="0"/>
              <w:bottom w:val="single" w:color="000000" w:sz="4" w:space="0"/>
              <w:right w:val="single" w:color="000000" w:sz="4" w:space="0"/>
            </w:tcBorders>
            <w:vAlign w:val="center"/>
          </w:tcPr>
          <w:p w14:paraId="6B4A613F">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3DC3CCF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其中：财政资金</w:t>
            </w:r>
          </w:p>
        </w:tc>
        <w:tc>
          <w:tcPr>
            <w:tcW w:w="300" w:type="dxa"/>
            <w:tcBorders>
              <w:top w:val="nil"/>
              <w:left w:val="nil"/>
              <w:bottom w:val="single" w:color="000000" w:sz="4" w:space="0"/>
              <w:right w:val="single" w:color="000000" w:sz="4" w:space="0"/>
            </w:tcBorders>
            <w:shd w:val="clear" w:color="auto" w:fill="auto"/>
            <w:vAlign w:val="center"/>
          </w:tcPr>
          <w:p w14:paraId="420EE5D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79C5F39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1.40</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73FC230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1.40</w:t>
            </w:r>
          </w:p>
        </w:tc>
        <w:tc>
          <w:tcPr>
            <w:tcW w:w="300" w:type="dxa"/>
            <w:tcBorders>
              <w:top w:val="nil"/>
              <w:left w:val="nil"/>
              <w:bottom w:val="single" w:color="000000" w:sz="4" w:space="0"/>
              <w:right w:val="single" w:color="000000" w:sz="4" w:space="0"/>
            </w:tcBorders>
            <w:shd w:val="clear" w:color="auto" w:fill="auto"/>
            <w:vAlign w:val="center"/>
          </w:tcPr>
          <w:p w14:paraId="400B0C4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100.00%</w:t>
            </w:r>
          </w:p>
        </w:tc>
        <w:tc>
          <w:tcPr>
            <w:tcW w:w="3840" w:type="dxa"/>
            <w:tcBorders>
              <w:top w:val="nil"/>
              <w:left w:val="nil"/>
              <w:bottom w:val="single" w:color="000000" w:sz="4" w:space="0"/>
              <w:right w:val="single" w:color="000000" w:sz="4" w:space="0"/>
            </w:tcBorders>
            <w:shd w:val="clear" w:color="auto" w:fill="auto"/>
            <w:vAlign w:val="center"/>
          </w:tcPr>
          <w:p w14:paraId="5AFF476D">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5526A57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570B70A5">
            <w:pPr>
              <w:widowControl/>
              <w:autoSpaceDE/>
              <w:autoSpaceDN/>
              <w:adjustRightInd/>
              <w:rPr>
                <w:rFonts w:ascii="Courier New" w:hAnsi="Courier New" w:eastAsia="等线" w:cs="Courier New"/>
                <w:i/>
                <w:iCs/>
                <w:color w:val="000000"/>
                <w:sz w:val="18"/>
                <w:szCs w:val="18"/>
              </w:rPr>
            </w:pPr>
          </w:p>
        </w:tc>
      </w:tr>
      <w:tr w14:paraId="2D613D6E">
        <w:tblPrEx>
          <w:tblCellMar>
            <w:top w:w="0" w:type="dxa"/>
            <w:left w:w="108" w:type="dxa"/>
            <w:bottom w:w="0" w:type="dxa"/>
            <w:right w:w="108" w:type="dxa"/>
          </w:tblCellMar>
        </w:tblPrEx>
        <w:trPr>
          <w:trHeight w:val="409" w:hRule="atLeast"/>
        </w:trPr>
        <w:tc>
          <w:tcPr>
            <w:tcW w:w="300" w:type="dxa"/>
            <w:vMerge w:val="continue"/>
            <w:tcBorders>
              <w:top w:val="nil"/>
              <w:left w:val="single" w:color="000000" w:sz="4" w:space="0"/>
              <w:bottom w:val="single" w:color="000000" w:sz="4" w:space="0"/>
              <w:right w:val="single" w:color="000000" w:sz="4" w:space="0"/>
            </w:tcBorders>
            <w:vAlign w:val="center"/>
          </w:tcPr>
          <w:p w14:paraId="37B589B5">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561FCC3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财政专户管理资金</w:t>
            </w:r>
          </w:p>
        </w:tc>
        <w:tc>
          <w:tcPr>
            <w:tcW w:w="300" w:type="dxa"/>
            <w:tcBorders>
              <w:top w:val="nil"/>
              <w:left w:val="nil"/>
              <w:bottom w:val="single" w:color="000000" w:sz="4" w:space="0"/>
              <w:right w:val="single" w:color="000000" w:sz="4" w:space="0"/>
            </w:tcBorders>
            <w:shd w:val="clear" w:color="auto" w:fill="auto"/>
            <w:vAlign w:val="center"/>
          </w:tcPr>
          <w:p w14:paraId="37C478E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30D084F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5182D93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2F9F699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840" w:type="dxa"/>
            <w:tcBorders>
              <w:top w:val="nil"/>
              <w:left w:val="nil"/>
              <w:bottom w:val="single" w:color="000000" w:sz="4" w:space="0"/>
              <w:right w:val="single" w:color="000000" w:sz="4" w:space="0"/>
            </w:tcBorders>
            <w:shd w:val="clear" w:color="auto" w:fill="auto"/>
            <w:vAlign w:val="center"/>
          </w:tcPr>
          <w:p w14:paraId="55169BE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4996C17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412A4FC1">
            <w:pPr>
              <w:widowControl/>
              <w:autoSpaceDE/>
              <w:autoSpaceDN/>
              <w:adjustRightInd/>
              <w:rPr>
                <w:rFonts w:ascii="Courier New" w:hAnsi="Courier New" w:eastAsia="等线" w:cs="Courier New"/>
                <w:i/>
                <w:iCs/>
                <w:color w:val="000000"/>
                <w:sz w:val="18"/>
                <w:szCs w:val="18"/>
              </w:rPr>
            </w:pPr>
          </w:p>
        </w:tc>
      </w:tr>
      <w:tr w14:paraId="5DBC240E">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14:paraId="2E50F4D3">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1A10EBD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单位资金</w:t>
            </w:r>
          </w:p>
        </w:tc>
        <w:tc>
          <w:tcPr>
            <w:tcW w:w="300" w:type="dxa"/>
            <w:tcBorders>
              <w:top w:val="nil"/>
              <w:left w:val="nil"/>
              <w:bottom w:val="single" w:color="000000" w:sz="4" w:space="0"/>
              <w:right w:val="single" w:color="000000" w:sz="4" w:space="0"/>
            </w:tcBorders>
            <w:shd w:val="clear" w:color="auto" w:fill="auto"/>
            <w:vAlign w:val="center"/>
          </w:tcPr>
          <w:p w14:paraId="2F3E339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509DB99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2EEB781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0BB618F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840" w:type="dxa"/>
            <w:tcBorders>
              <w:top w:val="nil"/>
              <w:left w:val="nil"/>
              <w:bottom w:val="single" w:color="000000" w:sz="4" w:space="0"/>
              <w:right w:val="single" w:color="000000" w:sz="4" w:space="0"/>
            </w:tcBorders>
            <w:shd w:val="clear" w:color="auto" w:fill="auto"/>
            <w:vAlign w:val="center"/>
          </w:tcPr>
          <w:p w14:paraId="2702A1C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2B50A6C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605BDAA3">
            <w:pPr>
              <w:widowControl/>
              <w:autoSpaceDE/>
              <w:autoSpaceDN/>
              <w:adjustRightInd/>
              <w:rPr>
                <w:rFonts w:ascii="Courier New" w:hAnsi="Courier New" w:eastAsia="等线" w:cs="Courier New"/>
                <w:i/>
                <w:iCs/>
                <w:color w:val="000000"/>
                <w:sz w:val="18"/>
                <w:szCs w:val="18"/>
              </w:rPr>
            </w:pPr>
          </w:p>
        </w:tc>
      </w:tr>
      <w:tr w14:paraId="5DB6690C">
        <w:tblPrEx>
          <w:tblCellMar>
            <w:top w:w="0" w:type="dxa"/>
            <w:left w:w="108" w:type="dxa"/>
            <w:bottom w:w="0" w:type="dxa"/>
            <w:right w:w="108" w:type="dxa"/>
          </w:tblCellMar>
        </w:tblPrEx>
        <w:trPr>
          <w:trHeight w:val="338" w:hRule="atLeast"/>
        </w:trPr>
        <w:tc>
          <w:tcPr>
            <w:tcW w:w="300" w:type="dxa"/>
            <w:vMerge w:val="continue"/>
            <w:tcBorders>
              <w:top w:val="nil"/>
              <w:left w:val="single" w:color="000000" w:sz="4" w:space="0"/>
              <w:bottom w:val="single" w:color="000000" w:sz="4" w:space="0"/>
              <w:right w:val="single" w:color="000000" w:sz="4" w:space="0"/>
            </w:tcBorders>
            <w:vAlign w:val="center"/>
          </w:tcPr>
          <w:p w14:paraId="6CD5A5F7">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67F05C9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其他资金</w:t>
            </w:r>
          </w:p>
        </w:tc>
        <w:tc>
          <w:tcPr>
            <w:tcW w:w="300" w:type="dxa"/>
            <w:tcBorders>
              <w:top w:val="nil"/>
              <w:left w:val="nil"/>
              <w:bottom w:val="single" w:color="000000" w:sz="4" w:space="0"/>
              <w:right w:val="single" w:color="000000" w:sz="4" w:space="0"/>
            </w:tcBorders>
            <w:shd w:val="clear" w:color="auto" w:fill="auto"/>
            <w:vAlign w:val="center"/>
          </w:tcPr>
          <w:p w14:paraId="491EF498">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00" w:type="dxa"/>
            <w:tcBorders>
              <w:top w:val="nil"/>
              <w:left w:val="nil"/>
              <w:bottom w:val="single" w:color="000000" w:sz="4" w:space="0"/>
              <w:right w:val="single" w:color="000000" w:sz="4" w:space="0"/>
            </w:tcBorders>
            <w:shd w:val="clear" w:color="auto" w:fill="auto"/>
            <w:vAlign w:val="center"/>
          </w:tcPr>
          <w:p w14:paraId="27CADDCD">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594C62F8">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00" w:type="dxa"/>
            <w:tcBorders>
              <w:top w:val="nil"/>
              <w:left w:val="nil"/>
              <w:bottom w:val="single" w:color="000000" w:sz="4" w:space="0"/>
              <w:right w:val="single" w:color="000000" w:sz="4" w:space="0"/>
            </w:tcBorders>
            <w:shd w:val="clear" w:color="auto" w:fill="auto"/>
            <w:vAlign w:val="center"/>
          </w:tcPr>
          <w:p w14:paraId="7ADFF4E0">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840" w:type="dxa"/>
            <w:tcBorders>
              <w:top w:val="nil"/>
              <w:left w:val="nil"/>
              <w:bottom w:val="single" w:color="000000" w:sz="4" w:space="0"/>
              <w:right w:val="single" w:color="000000" w:sz="4" w:space="0"/>
            </w:tcBorders>
            <w:shd w:val="clear" w:color="auto" w:fill="auto"/>
            <w:vAlign w:val="center"/>
          </w:tcPr>
          <w:p w14:paraId="6BD8EC59">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6E1FC14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39E0A1C3">
            <w:pPr>
              <w:widowControl/>
              <w:autoSpaceDE/>
              <w:autoSpaceDN/>
              <w:adjustRightInd/>
              <w:rPr>
                <w:rFonts w:ascii="Courier New" w:hAnsi="Courier New" w:eastAsia="等线" w:cs="Courier New"/>
                <w:i/>
                <w:iCs/>
                <w:color w:val="000000"/>
                <w:sz w:val="18"/>
                <w:szCs w:val="18"/>
              </w:rPr>
            </w:pPr>
          </w:p>
        </w:tc>
      </w:tr>
      <w:tr w14:paraId="5114AE49">
        <w:tblPrEx>
          <w:tblCellMar>
            <w:top w:w="0" w:type="dxa"/>
            <w:left w:w="108" w:type="dxa"/>
            <w:bottom w:w="0" w:type="dxa"/>
            <w:right w:w="108" w:type="dxa"/>
          </w:tblCellMar>
        </w:tblPrEx>
        <w:trPr>
          <w:trHeight w:val="454"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0115C10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绩效指标（90分）</w:t>
            </w:r>
          </w:p>
        </w:tc>
        <w:tc>
          <w:tcPr>
            <w:tcW w:w="300" w:type="dxa"/>
            <w:tcBorders>
              <w:top w:val="nil"/>
              <w:left w:val="nil"/>
              <w:bottom w:val="single" w:color="000000" w:sz="4" w:space="0"/>
              <w:right w:val="single" w:color="000000" w:sz="4" w:space="0"/>
            </w:tcBorders>
            <w:shd w:val="clear" w:color="auto" w:fill="auto"/>
            <w:vAlign w:val="center"/>
          </w:tcPr>
          <w:p w14:paraId="47E3C3A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一级指标</w:t>
            </w:r>
          </w:p>
        </w:tc>
        <w:tc>
          <w:tcPr>
            <w:tcW w:w="300" w:type="dxa"/>
            <w:tcBorders>
              <w:top w:val="nil"/>
              <w:left w:val="nil"/>
              <w:bottom w:val="single" w:color="000000" w:sz="4" w:space="0"/>
              <w:right w:val="single" w:color="000000" w:sz="4" w:space="0"/>
            </w:tcBorders>
            <w:shd w:val="clear" w:color="auto" w:fill="auto"/>
            <w:vAlign w:val="center"/>
          </w:tcPr>
          <w:p w14:paraId="2D988C8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二级指标</w:t>
            </w:r>
          </w:p>
        </w:tc>
        <w:tc>
          <w:tcPr>
            <w:tcW w:w="300" w:type="dxa"/>
            <w:tcBorders>
              <w:top w:val="nil"/>
              <w:left w:val="nil"/>
              <w:bottom w:val="single" w:color="000000" w:sz="4" w:space="0"/>
              <w:right w:val="single" w:color="000000" w:sz="4" w:space="0"/>
            </w:tcBorders>
            <w:shd w:val="clear" w:color="auto" w:fill="auto"/>
            <w:vAlign w:val="center"/>
          </w:tcPr>
          <w:p w14:paraId="46C522A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三级指标</w:t>
            </w:r>
          </w:p>
        </w:tc>
        <w:tc>
          <w:tcPr>
            <w:tcW w:w="300" w:type="dxa"/>
            <w:tcBorders>
              <w:top w:val="nil"/>
              <w:left w:val="nil"/>
              <w:bottom w:val="single" w:color="000000" w:sz="4" w:space="0"/>
              <w:right w:val="single" w:color="000000" w:sz="4" w:space="0"/>
            </w:tcBorders>
            <w:shd w:val="clear" w:color="auto" w:fill="auto"/>
            <w:vAlign w:val="center"/>
          </w:tcPr>
          <w:p w14:paraId="0795DD1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指标性质</w:t>
            </w:r>
          </w:p>
        </w:tc>
        <w:tc>
          <w:tcPr>
            <w:tcW w:w="300" w:type="dxa"/>
            <w:tcBorders>
              <w:top w:val="nil"/>
              <w:left w:val="nil"/>
              <w:bottom w:val="single" w:color="000000" w:sz="4" w:space="0"/>
              <w:right w:val="single" w:color="000000" w:sz="4" w:space="0"/>
            </w:tcBorders>
            <w:shd w:val="clear" w:color="auto" w:fill="auto"/>
            <w:vAlign w:val="center"/>
          </w:tcPr>
          <w:p w14:paraId="4EBB560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指标值</w:t>
            </w:r>
          </w:p>
        </w:tc>
        <w:tc>
          <w:tcPr>
            <w:tcW w:w="300" w:type="dxa"/>
            <w:tcBorders>
              <w:top w:val="nil"/>
              <w:left w:val="nil"/>
              <w:bottom w:val="single" w:color="000000" w:sz="4" w:space="0"/>
              <w:right w:val="single" w:color="000000" w:sz="4" w:space="0"/>
            </w:tcBorders>
            <w:shd w:val="clear" w:color="auto" w:fill="auto"/>
            <w:vAlign w:val="center"/>
          </w:tcPr>
          <w:p w14:paraId="49CFD57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度量单位</w:t>
            </w:r>
          </w:p>
        </w:tc>
        <w:tc>
          <w:tcPr>
            <w:tcW w:w="300" w:type="dxa"/>
            <w:tcBorders>
              <w:top w:val="nil"/>
              <w:left w:val="nil"/>
              <w:bottom w:val="single" w:color="000000" w:sz="4" w:space="0"/>
              <w:right w:val="single" w:color="000000" w:sz="4" w:space="0"/>
            </w:tcBorders>
            <w:shd w:val="clear" w:color="auto" w:fill="auto"/>
            <w:vAlign w:val="center"/>
          </w:tcPr>
          <w:p w14:paraId="23C33BF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完成值</w:t>
            </w:r>
          </w:p>
        </w:tc>
        <w:tc>
          <w:tcPr>
            <w:tcW w:w="3840" w:type="dxa"/>
            <w:tcBorders>
              <w:top w:val="nil"/>
              <w:left w:val="nil"/>
              <w:bottom w:val="single" w:color="000000" w:sz="4" w:space="0"/>
              <w:right w:val="single" w:color="000000" w:sz="4" w:space="0"/>
            </w:tcBorders>
            <w:shd w:val="clear" w:color="auto" w:fill="auto"/>
            <w:vAlign w:val="center"/>
          </w:tcPr>
          <w:p w14:paraId="6BF174B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1A17D42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14:paraId="3171213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未完成原因分析</w:t>
            </w:r>
          </w:p>
        </w:tc>
      </w:tr>
      <w:tr w14:paraId="3B693E94">
        <w:tblPrEx>
          <w:tblCellMar>
            <w:top w:w="0" w:type="dxa"/>
            <w:left w:w="108" w:type="dxa"/>
            <w:bottom w:w="0" w:type="dxa"/>
            <w:right w:w="108" w:type="dxa"/>
          </w:tblCellMar>
        </w:tblPrEx>
        <w:trPr>
          <w:trHeight w:val="338" w:hRule="atLeast"/>
        </w:trPr>
        <w:tc>
          <w:tcPr>
            <w:tcW w:w="300" w:type="dxa"/>
            <w:vMerge w:val="continue"/>
            <w:tcBorders>
              <w:top w:val="nil"/>
              <w:left w:val="single" w:color="000000" w:sz="4" w:space="0"/>
              <w:bottom w:val="single" w:color="000000" w:sz="4" w:space="0"/>
              <w:right w:val="single" w:color="000000" w:sz="4" w:space="0"/>
            </w:tcBorders>
            <w:vAlign w:val="center"/>
          </w:tcPr>
          <w:p w14:paraId="066D8FC4">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7AF19139">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20423C7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51E2DDF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3A2BAB1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57A0BA9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4FD35F6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42411AB0">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840" w:type="dxa"/>
            <w:tcBorders>
              <w:top w:val="nil"/>
              <w:left w:val="nil"/>
              <w:bottom w:val="single" w:color="000000" w:sz="4" w:space="0"/>
              <w:right w:val="single" w:color="000000" w:sz="4" w:space="0"/>
            </w:tcBorders>
            <w:shd w:val="clear" w:color="auto" w:fill="auto"/>
            <w:vAlign w:val="center"/>
          </w:tcPr>
          <w:p w14:paraId="22C33C3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14:paraId="4021C0A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14:paraId="4F30543A">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r>
      <w:tr w14:paraId="68ACB4F4">
        <w:tblPrEx>
          <w:tblCellMar>
            <w:top w:w="0" w:type="dxa"/>
            <w:left w:w="108" w:type="dxa"/>
            <w:bottom w:w="0" w:type="dxa"/>
            <w:right w:w="108" w:type="dxa"/>
          </w:tblCellMar>
        </w:tblPrEx>
        <w:trPr>
          <w:trHeight w:val="285" w:hRule="atLeast"/>
        </w:trPr>
        <w:tc>
          <w:tcPr>
            <w:tcW w:w="2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A4B97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合计</w:t>
            </w:r>
          </w:p>
        </w:tc>
        <w:tc>
          <w:tcPr>
            <w:tcW w:w="3840" w:type="dxa"/>
            <w:tcBorders>
              <w:top w:val="nil"/>
              <w:left w:val="nil"/>
              <w:bottom w:val="single" w:color="000000" w:sz="4" w:space="0"/>
              <w:right w:val="single" w:color="000000" w:sz="4" w:space="0"/>
            </w:tcBorders>
            <w:shd w:val="clear" w:color="auto" w:fill="auto"/>
            <w:vAlign w:val="center"/>
          </w:tcPr>
          <w:p w14:paraId="684FBE2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474C5779">
            <w:pPr>
              <w:widowControl/>
              <w:autoSpaceDE/>
              <w:autoSpaceDN/>
              <w:adjustRightInd/>
              <w:rPr>
                <w:rFonts w:ascii="宋体" w:hAnsi="宋体" w:cs="宋体"/>
                <w:color w:val="000000"/>
                <w:sz w:val="18"/>
                <w:szCs w:val="18"/>
              </w:rPr>
            </w:pPr>
            <w:r>
              <w:rPr>
                <w:rFonts w:ascii="宋体" w:hAnsi="宋体" w:cs="宋体"/>
                <w:color w:val="00000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14:paraId="2953964D">
            <w:pPr>
              <w:widowControl/>
              <w:autoSpaceDE/>
              <w:autoSpaceDN/>
              <w:adjustRightInd/>
              <w:rPr>
                <w:rFonts w:ascii="宋体" w:hAnsi="宋体" w:cs="宋体"/>
                <w:color w:val="000000"/>
                <w:sz w:val="18"/>
                <w:szCs w:val="18"/>
              </w:rPr>
            </w:pPr>
            <w:r>
              <w:rPr>
                <w:rFonts w:ascii="宋体" w:hAnsi="宋体" w:cs="宋体"/>
                <w:color w:val="000000"/>
                <w:sz w:val="18"/>
                <w:szCs w:val="18"/>
              </w:rPr>
              <w:t>　</w:t>
            </w:r>
          </w:p>
        </w:tc>
      </w:tr>
      <w:tr w14:paraId="773159A3">
        <w:tblPrEx>
          <w:tblCellMar>
            <w:top w:w="0" w:type="dxa"/>
            <w:left w:w="108" w:type="dxa"/>
            <w:bottom w:w="0" w:type="dxa"/>
            <w:right w:w="108" w:type="dxa"/>
          </w:tblCellMar>
        </w:tblPrEx>
        <w:trPr>
          <w:trHeight w:val="60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7FD4C73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评价结论</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2807B5B9">
            <w:pPr>
              <w:widowControl/>
              <w:autoSpaceDE/>
              <w:autoSpaceDN/>
              <w:adjustRightInd/>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本项目的经费严格按照资金管理使用办法支出的范围使用。统一核算，按照项目计划安排和实际工作情况开支，做到了专款专用。</w:t>
            </w:r>
          </w:p>
        </w:tc>
      </w:tr>
      <w:tr w14:paraId="0AB37007">
        <w:tblPrEx>
          <w:tblCellMar>
            <w:top w:w="0" w:type="dxa"/>
            <w:left w:w="108" w:type="dxa"/>
            <w:bottom w:w="0" w:type="dxa"/>
            <w:right w:w="108" w:type="dxa"/>
          </w:tblCellMar>
        </w:tblPrEx>
        <w:trPr>
          <w:trHeight w:val="57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25D7E46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存在问题</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67600386">
            <w:pPr>
              <w:widowControl/>
              <w:autoSpaceDE/>
              <w:autoSpaceDN/>
              <w:adjustRightInd/>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无</w:t>
            </w:r>
          </w:p>
        </w:tc>
      </w:tr>
      <w:tr w14:paraId="7B54FB5F">
        <w:tblPrEx>
          <w:tblCellMar>
            <w:top w:w="0" w:type="dxa"/>
            <w:left w:w="108" w:type="dxa"/>
            <w:bottom w:w="0" w:type="dxa"/>
            <w:right w:w="108" w:type="dxa"/>
          </w:tblCellMar>
        </w:tblPrEx>
        <w:trPr>
          <w:trHeight w:val="63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0511E61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改进措施</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42466CEB">
            <w:pPr>
              <w:widowControl/>
              <w:autoSpaceDE/>
              <w:autoSpaceDN/>
              <w:adjustRightInd/>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无</w:t>
            </w:r>
          </w:p>
        </w:tc>
      </w:tr>
      <w:tr w14:paraId="274076BA">
        <w:tblPrEx>
          <w:tblCellMar>
            <w:top w:w="0" w:type="dxa"/>
            <w:left w:w="108" w:type="dxa"/>
            <w:bottom w:w="0" w:type="dxa"/>
            <w:right w:w="108" w:type="dxa"/>
          </w:tblCellMar>
        </w:tblPrEx>
        <w:trPr>
          <w:trHeight w:val="285" w:hRule="atLeast"/>
        </w:trPr>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261B8">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项目负责人：王立新</w:t>
            </w:r>
          </w:p>
        </w:tc>
        <w:tc>
          <w:tcPr>
            <w:tcW w:w="7760" w:type="dxa"/>
            <w:gridSpan w:val="6"/>
            <w:tcBorders>
              <w:top w:val="single" w:color="000000" w:sz="4" w:space="0"/>
              <w:left w:val="nil"/>
              <w:bottom w:val="single" w:color="000000" w:sz="4" w:space="0"/>
              <w:right w:val="single" w:color="000000" w:sz="4" w:space="0"/>
            </w:tcBorders>
            <w:shd w:val="clear" w:color="auto" w:fill="auto"/>
            <w:vAlign w:val="center"/>
          </w:tcPr>
          <w:p w14:paraId="6E961B3B">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财务负责人：何成</w:t>
            </w:r>
          </w:p>
        </w:tc>
      </w:tr>
      <w:tr w14:paraId="52107239">
        <w:tblPrEx>
          <w:tblCellMar>
            <w:top w:w="0" w:type="dxa"/>
            <w:left w:w="108" w:type="dxa"/>
            <w:bottom w:w="0" w:type="dxa"/>
            <w:right w:w="108" w:type="dxa"/>
          </w:tblCellMar>
        </w:tblPrEx>
        <w:trPr>
          <w:trHeight w:val="285" w:hRule="atLeast"/>
        </w:trPr>
        <w:tc>
          <w:tcPr>
            <w:tcW w:w="300" w:type="dxa"/>
            <w:tcBorders>
              <w:top w:val="nil"/>
              <w:left w:val="nil"/>
              <w:bottom w:val="nil"/>
              <w:right w:val="nil"/>
            </w:tcBorders>
            <w:shd w:val="clear" w:color="auto" w:fill="auto"/>
            <w:vAlign w:val="center"/>
          </w:tcPr>
          <w:p w14:paraId="7D71061F">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48B988FE">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3A77B3F8">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401356B0">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098B7405">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2DE7A954">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46A1E0B9">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031A45AB">
            <w:pPr>
              <w:widowControl/>
              <w:autoSpaceDE/>
              <w:autoSpaceDN/>
              <w:adjustRightInd/>
              <w:rPr>
                <w:rFonts w:ascii="宋体" w:hAnsi="宋体" w:cs="宋体"/>
                <w:sz w:val="18"/>
                <w:szCs w:val="18"/>
              </w:rPr>
            </w:pPr>
            <w:r>
              <w:rPr>
                <w:rFonts w:ascii="宋体" w:hAnsi="宋体" w:cs="宋体"/>
                <w:sz w:val="18"/>
                <w:szCs w:val="18"/>
              </w:rPr>
              <w:t>　</w:t>
            </w:r>
          </w:p>
        </w:tc>
        <w:tc>
          <w:tcPr>
            <w:tcW w:w="3840" w:type="dxa"/>
            <w:tcBorders>
              <w:top w:val="nil"/>
              <w:left w:val="nil"/>
              <w:bottom w:val="nil"/>
              <w:right w:val="nil"/>
            </w:tcBorders>
            <w:shd w:val="clear" w:color="auto" w:fill="auto"/>
            <w:vAlign w:val="center"/>
          </w:tcPr>
          <w:p w14:paraId="56211BB2">
            <w:pPr>
              <w:widowControl/>
              <w:autoSpaceDE/>
              <w:autoSpaceDN/>
              <w:adjustRightInd/>
              <w:rPr>
                <w:rFonts w:ascii="宋体" w:hAnsi="宋体" w:cs="宋体"/>
                <w:sz w:val="18"/>
                <w:szCs w:val="18"/>
              </w:rPr>
            </w:pPr>
            <w:r>
              <w:rPr>
                <w:rFonts w:ascii="宋体" w:hAnsi="宋体" w:cs="宋体"/>
                <w:sz w:val="18"/>
                <w:szCs w:val="18"/>
              </w:rPr>
              <w:t>　</w:t>
            </w:r>
          </w:p>
        </w:tc>
        <w:tc>
          <w:tcPr>
            <w:tcW w:w="460" w:type="dxa"/>
            <w:tcBorders>
              <w:top w:val="nil"/>
              <w:left w:val="nil"/>
              <w:bottom w:val="nil"/>
              <w:right w:val="nil"/>
            </w:tcBorders>
            <w:shd w:val="clear" w:color="auto" w:fill="auto"/>
            <w:vAlign w:val="center"/>
          </w:tcPr>
          <w:p w14:paraId="5CB27C1F">
            <w:pPr>
              <w:widowControl/>
              <w:autoSpaceDE/>
              <w:autoSpaceDN/>
              <w:adjustRightInd/>
              <w:rPr>
                <w:rFonts w:ascii="宋体" w:hAnsi="宋体" w:cs="宋体"/>
                <w:sz w:val="18"/>
                <w:szCs w:val="18"/>
              </w:rPr>
            </w:pPr>
            <w:r>
              <w:rPr>
                <w:rFonts w:ascii="宋体" w:hAnsi="宋体" w:cs="宋体"/>
                <w:sz w:val="18"/>
                <w:szCs w:val="18"/>
              </w:rPr>
              <w:t>　</w:t>
            </w:r>
          </w:p>
        </w:tc>
        <w:tc>
          <w:tcPr>
            <w:tcW w:w="2560" w:type="dxa"/>
            <w:tcBorders>
              <w:top w:val="nil"/>
              <w:left w:val="nil"/>
              <w:bottom w:val="nil"/>
              <w:right w:val="nil"/>
            </w:tcBorders>
            <w:shd w:val="clear" w:color="auto" w:fill="auto"/>
            <w:vAlign w:val="center"/>
          </w:tcPr>
          <w:p w14:paraId="137B9D56">
            <w:pPr>
              <w:widowControl/>
              <w:autoSpaceDE/>
              <w:autoSpaceDN/>
              <w:adjustRightInd/>
              <w:rPr>
                <w:rFonts w:ascii="宋体" w:hAnsi="宋体" w:cs="宋体"/>
                <w:sz w:val="18"/>
                <w:szCs w:val="18"/>
              </w:rPr>
            </w:pPr>
            <w:r>
              <w:rPr>
                <w:rFonts w:ascii="宋体" w:hAnsi="宋体" w:cs="宋体"/>
                <w:sz w:val="18"/>
                <w:szCs w:val="18"/>
              </w:rPr>
              <w:t>　</w:t>
            </w:r>
          </w:p>
        </w:tc>
      </w:tr>
      <w:tr w14:paraId="057EDEA9">
        <w:tblPrEx>
          <w:tblCellMar>
            <w:top w:w="0" w:type="dxa"/>
            <w:left w:w="108" w:type="dxa"/>
            <w:bottom w:w="0" w:type="dxa"/>
            <w:right w:w="108" w:type="dxa"/>
          </w:tblCellMar>
        </w:tblPrEx>
        <w:trPr>
          <w:trHeight w:val="904" w:hRule="atLeast"/>
        </w:trPr>
        <w:tc>
          <w:tcPr>
            <w:tcW w:w="92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9C01FB">
            <w:pPr>
              <w:widowControl/>
              <w:autoSpaceDE/>
              <w:autoSpaceDN/>
              <w:adjustRightInd/>
              <w:jc w:val="center"/>
              <w:rPr>
                <w:rFonts w:ascii="黑体" w:hAnsi="黑体" w:eastAsia="黑体" w:cs="宋体"/>
                <w:b/>
                <w:bCs/>
                <w:color w:val="000000"/>
                <w:sz w:val="30"/>
                <w:szCs w:val="30"/>
              </w:rPr>
            </w:pPr>
            <w:r>
              <w:rPr>
                <w:rFonts w:ascii="黑体" w:hAnsi="黑体" w:eastAsia="黑体" w:cs="宋体"/>
                <w:b/>
                <w:bCs/>
                <w:color w:val="000000"/>
                <w:sz w:val="30"/>
                <w:szCs w:val="30"/>
              </w:rPr>
              <w:t>部门预算项目支出绩效自评表（2023年度）</w:t>
            </w:r>
          </w:p>
        </w:tc>
      </w:tr>
      <w:tr w14:paraId="64EFA121">
        <w:tblPrEx>
          <w:tblCellMar>
            <w:top w:w="0" w:type="dxa"/>
            <w:left w:w="108" w:type="dxa"/>
            <w:bottom w:w="0" w:type="dxa"/>
            <w:right w:w="108" w:type="dxa"/>
          </w:tblCellMar>
        </w:tblPrEx>
        <w:trPr>
          <w:trHeight w:val="904" w:hRule="atLeast"/>
        </w:trPr>
        <w:tc>
          <w:tcPr>
            <w:tcW w:w="92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CDB9E7">
            <w:pPr>
              <w:widowControl/>
              <w:autoSpaceDE/>
              <w:autoSpaceDN/>
              <w:adjustRightInd/>
              <w:jc w:val="center"/>
              <w:rPr>
                <w:rFonts w:ascii="黑体" w:hAnsi="黑体" w:eastAsia="黑体" w:cs="宋体"/>
                <w:b/>
                <w:bCs/>
                <w:color w:val="000000"/>
                <w:sz w:val="30"/>
                <w:szCs w:val="30"/>
              </w:rPr>
            </w:pPr>
            <w:r>
              <w:rPr>
                <w:rFonts w:ascii="黑体" w:hAnsi="黑体" w:eastAsia="黑体" w:cs="宋体"/>
                <w:b/>
                <w:bCs/>
                <w:color w:val="000000"/>
                <w:sz w:val="30"/>
                <w:szCs w:val="30"/>
              </w:rPr>
              <w:t>部门预算项目支出绩效自评表（2023年度）</w:t>
            </w:r>
          </w:p>
        </w:tc>
      </w:tr>
      <w:tr w14:paraId="66994517">
        <w:tblPrEx>
          <w:tblCellMar>
            <w:top w:w="0" w:type="dxa"/>
            <w:left w:w="108" w:type="dxa"/>
            <w:bottom w:w="0" w:type="dxa"/>
            <w:right w:w="108" w:type="dxa"/>
          </w:tblCellMar>
        </w:tblPrEx>
        <w:trPr>
          <w:trHeight w:val="285"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E8FB1">
            <w:pPr>
              <w:widowControl/>
              <w:autoSpaceDE/>
              <w:autoSpaceDN/>
              <w:adjustRightInd/>
              <w:rPr>
                <w:rFonts w:ascii="宋体" w:hAnsi="宋体" w:cs="宋体"/>
                <w:color w:val="000000"/>
                <w:sz w:val="18"/>
                <w:szCs w:val="18"/>
              </w:rPr>
            </w:pPr>
            <w:r>
              <w:rPr>
                <w:rFonts w:ascii="宋体" w:hAnsi="宋体" w:cs="宋体"/>
                <w:color w:val="000000"/>
                <w:sz w:val="18"/>
                <w:szCs w:val="18"/>
              </w:rPr>
              <w:t>项目名称</w:t>
            </w:r>
          </w:p>
        </w:tc>
        <w:tc>
          <w:tcPr>
            <w:tcW w:w="8660" w:type="dxa"/>
            <w:gridSpan w:val="9"/>
            <w:tcBorders>
              <w:top w:val="single" w:color="000000" w:sz="4" w:space="0"/>
              <w:left w:val="nil"/>
              <w:bottom w:val="single" w:color="000000" w:sz="4" w:space="0"/>
              <w:right w:val="single" w:color="000000" w:sz="4" w:space="0"/>
            </w:tcBorders>
            <w:shd w:val="clear" w:color="auto" w:fill="auto"/>
            <w:vAlign w:val="center"/>
          </w:tcPr>
          <w:p w14:paraId="133D2E34">
            <w:pPr>
              <w:widowControl/>
              <w:autoSpaceDE/>
              <w:autoSpaceDN/>
              <w:adjustRightInd/>
              <w:rPr>
                <w:rFonts w:ascii="宋体" w:hAnsi="宋体" w:cs="宋体"/>
                <w:color w:val="000000"/>
                <w:sz w:val="18"/>
                <w:szCs w:val="18"/>
              </w:rPr>
            </w:pPr>
            <w:r>
              <w:rPr>
                <w:rFonts w:ascii="宋体" w:hAnsi="宋体" w:cs="宋体"/>
                <w:color w:val="000000"/>
                <w:sz w:val="18"/>
                <w:szCs w:val="18"/>
              </w:rPr>
              <w:t>51098124Y000010150983-2023年市本级衔接资金—义务教育学校建档立卡学生教辅资料和学平险补助</w:t>
            </w:r>
          </w:p>
        </w:tc>
      </w:tr>
      <w:tr w14:paraId="5E1B3E0A">
        <w:tblPrEx>
          <w:tblCellMar>
            <w:top w:w="0" w:type="dxa"/>
            <w:left w:w="108" w:type="dxa"/>
            <w:bottom w:w="0" w:type="dxa"/>
            <w:right w:w="108" w:type="dxa"/>
          </w:tblCellMar>
        </w:tblPrEx>
        <w:trPr>
          <w:trHeight w:val="514"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078B2">
            <w:pPr>
              <w:widowControl/>
              <w:autoSpaceDE/>
              <w:autoSpaceDN/>
              <w:adjustRightInd/>
              <w:rPr>
                <w:rFonts w:ascii="宋体" w:hAnsi="宋体" w:cs="宋体"/>
                <w:color w:val="000000"/>
                <w:sz w:val="18"/>
                <w:szCs w:val="18"/>
              </w:rPr>
            </w:pPr>
            <w:r>
              <w:rPr>
                <w:rFonts w:ascii="宋体" w:hAnsi="宋体" w:cs="宋体"/>
                <w:color w:val="000000"/>
                <w:sz w:val="18"/>
                <w:szCs w:val="18"/>
              </w:rPr>
              <w:t>主管部门</w:t>
            </w: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73BBA98B">
            <w:pPr>
              <w:widowControl/>
              <w:autoSpaceDE/>
              <w:autoSpaceDN/>
              <w:adjustRightInd/>
              <w:rPr>
                <w:rFonts w:ascii="宋体" w:hAnsi="宋体" w:cs="宋体"/>
                <w:color w:val="000000"/>
                <w:sz w:val="18"/>
                <w:szCs w:val="18"/>
              </w:rPr>
            </w:pPr>
            <w:r>
              <w:rPr>
                <w:rFonts w:ascii="宋体" w:hAnsi="宋体" w:cs="宋体"/>
                <w:color w:val="000000"/>
                <w:sz w:val="18"/>
                <w:szCs w:val="18"/>
              </w:rPr>
              <w:t>射洪市教育和体育局部门</w:t>
            </w:r>
          </w:p>
        </w:tc>
        <w:tc>
          <w:tcPr>
            <w:tcW w:w="300" w:type="dxa"/>
            <w:tcBorders>
              <w:top w:val="nil"/>
              <w:left w:val="nil"/>
              <w:bottom w:val="nil"/>
              <w:right w:val="nil"/>
            </w:tcBorders>
            <w:shd w:val="clear" w:color="auto" w:fill="auto"/>
            <w:vAlign w:val="center"/>
          </w:tcPr>
          <w:p w14:paraId="0C8F67D0">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实施单位 （盖章）</w:t>
            </w:r>
          </w:p>
        </w:tc>
        <w:tc>
          <w:tcPr>
            <w:tcW w:w="6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92E4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射洪市仁和镇初级中学校</w:t>
            </w:r>
          </w:p>
        </w:tc>
      </w:tr>
      <w:tr w14:paraId="66220D68">
        <w:tblPrEx>
          <w:tblCellMar>
            <w:top w:w="0" w:type="dxa"/>
            <w:left w:w="108" w:type="dxa"/>
            <w:bottom w:w="0" w:type="dxa"/>
            <w:right w:w="108" w:type="dxa"/>
          </w:tblCellMar>
        </w:tblPrEx>
        <w:trPr>
          <w:trHeight w:val="285"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6056F04B">
            <w:pPr>
              <w:widowControl/>
              <w:autoSpaceDE/>
              <w:autoSpaceDN/>
              <w:adjustRightInd/>
              <w:rPr>
                <w:rFonts w:ascii="宋体" w:hAnsi="宋体" w:cs="宋体"/>
                <w:color w:val="000000"/>
                <w:sz w:val="18"/>
                <w:szCs w:val="18"/>
              </w:rPr>
            </w:pPr>
            <w:r>
              <w:rPr>
                <w:rFonts w:ascii="宋体" w:hAnsi="宋体" w:cs="宋体"/>
                <w:color w:val="000000"/>
                <w:sz w:val="18"/>
                <w:szCs w:val="18"/>
              </w:rPr>
              <w:t>项目基本情况</w:t>
            </w:r>
          </w:p>
        </w:tc>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28F9F05B">
            <w:pPr>
              <w:widowControl/>
              <w:autoSpaceDE/>
              <w:autoSpaceDN/>
              <w:adjustRightInd/>
              <w:rPr>
                <w:rFonts w:ascii="宋体" w:hAnsi="宋体" w:cs="宋体"/>
                <w:color w:val="000000"/>
                <w:sz w:val="18"/>
                <w:szCs w:val="18"/>
              </w:rPr>
            </w:pPr>
            <w:r>
              <w:rPr>
                <w:rFonts w:ascii="宋体" w:hAnsi="宋体" w:cs="宋体"/>
                <w:color w:val="000000"/>
                <w:sz w:val="18"/>
                <w:szCs w:val="18"/>
              </w:rPr>
              <w:t>1.项目年度目标完成情况</w:t>
            </w: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7114811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项目年度目标</w:t>
            </w:r>
          </w:p>
        </w:tc>
        <w:tc>
          <w:tcPr>
            <w:tcW w:w="7160" w:type="dxa"/>
            <w:gridSpan w:val="4"/>
            <w:tcBorders>
              <w:top w:val="single" w:color="000000" w:sz="4" w:space="0"/>
              <w:left w:val="nil"/>
              <w:bottom w:val="single" w:color="000000" w:sz="4" w:space="0"/>
              <w:right w:val="single" w:color="000000" w:sz="4" w:space="0"/>
            </w:tcBorders>
            <w:shd w:val="clear" w:color="auto" w:fill="auto"/>
            <w:vAlign w:val="center"/>
          </w:tcPr>
          <w:p w14:paraId="1448288A">
            <w:pPr>
              <w:widowControl/>
              <w:autoSpaceDE/>
              <w:autoSpaceDN/>
              <w:adjustRightInd/>
              <w:jc w:val="center"/>
              <w:rPr>
                <w:rFonts w:ascii="Courier New" w:hAnsi="Courier New" w:eastAsia="等线" w:cs="Courier New"/>
                <w:color w:val="000000"/>
                <w:sz w:val="18"/>
                <w:szCs w:val="18"/>
              </w:rPr>
            </w:pPr>
            <w:r>
              <w:rPr>
                <w:rFonts w:ascii="Courier New" w:hAnsi="Courier New" w:eastAsia="等线" w:cs="Courier New"/>
                <w:color w:val="000000"/>
                <w:sz w:val="18"/>
                <w:szCs w:val="18"/>
              </w:rPr>
              <w:t>年度目标完成情况</w:t>
            </w:r>
          </w:p>
        </w:tc>
      </w:tr>
      <w:tr w14:paraId="33432C89">
        <w:tblPrEx>
          <w:tblCellMar>
            <w:top w:w="0" w:type="dxa"/>
            <w:left w:w="108" w:type="dxa"/>
            <w:bottom w:w="0" w:type="dxa"/>
            <w:right w:w="108" w:type="dxa"/>
          </w:tblCellMar>
        </w:tblPrEx>
        <w:trPr>
          <w:trHeight w:val="709" w:hRule="atLeast"/>
        </w:trPr>
        <w:tc>
          <w:tcPr>
            <w:tcW w:w="300" w:type="dxa"/>
            <w:vMerge w:val="continue"/>
            <w:tcBorders>
              <w:top w:val="nil"/>
              <w:left w:val="single" w:color="000000" w:sz="4" w:space="0"/>
              <w:bottom w:val="single" w:color="000000" w:sz="4" w:space="0"/>
              <w:right w:val="single" w:color="000000" w:sz="4" w:space="0"/>
            </w:tcBorders>
            <w:vAlign w:val="center"/>
          </w:tcPr>
          <w:p w14:paraId="0B37067A">
            <w:pPr>
              <w:widowControl/>
              <w:autoSpaceDE/>
              <w:autoSpaceDN/>
              <w:adjustRightInd/>
              <w:rPr>
                <w:rFonts w:ascii="宋体" w:hAnsi="宋体" w:cs="宋体"/>
                <w:color w:val="000000"/>
                <w:sz w:val="18"/>
                <w:szCs w:val="18"/>
              </w:rPr>
            </w:pPr>
          </w:p>
        </w:tc>
        <w:tc>
          <w:tcPr>
            <w:tcW w:w="300" w:type="dxa"/>
            <w:vMerge w:val="continue"/>
            <w:tcBorders>
              <w:top w:val="nil"/>
              <w:left w:val="single" w:color="000000" w:sz="4" w:space="0"/>
              <w:bottom w:val="single" w:color="000000" w:sz="4" w:space="0"/>
              <w:right w:val="single" w:color="000000" w:sz="4" w:space="0"/>
            </w:tcBorders>
            <w:vAlign w:val="center"/>
          </w:tcPr>
          <w:p w14:paraId="6A16B633">
            <w:pPr>
              <w:widowControl/>
              <w:autoSpaceDE/>
              <w:autoSpaceDN/>
              <w:adjustRightInd/>
              <w:rPr>
                <w:rFonts w:ascii="宋体" w:hAnsi="宋体" w:cs="宋体"/>
                <w:color w:val="000000"/>
                <w:sz w:val="18"/>
                <w:szCs w:val="18"/>
              </w:rPr>
            </w:pPr>
          </w:p>
        </w:tc>
        <w:tc>
          <w:tcPr>
            <w:tcW w:w="1500" w:type="dxa"/>
            <w:gridSpan w:val="5"/>
            <w:tcBorders>
              <w:top w:val="single" w:color="000000" w:sz="4" w:space="0"/>
              <w:left w:val="nil"/>
              <w:bottom w:val="single" w:color="000000" w:sz="4" w:space="0"/>
              <w:right w:val="single" w:color="000000" w:sz="4" w:space="0"/>
            </w:tcBorders>
            <w:shd w:val="clear" w:color="auto" w:fill="auto"/>
            <w:vAlign w:val="center"/>
          </w:tcPr>
          <w:p w14:paraId="3898363E">
            <w:pPr>
              <w:widowControl/>
              <w:autoSpaceDE/>
              <w:autoSpaceDN/>
              <w:adjustRightInd/>
              <w:rPr>
                <w:rFonts w:ascii="宋体" w:hAnsi="宋体" w:cs="宋体"/>
                <w:color w:val="000000"/>
                <w:sz w:val="18"/>
                <w:szCs w:val="18"/>
              </w:rPr>
            </w:pPr>
            <w:r>
              <w:rPr>
                <w:rFonts w:ascii="宋体" w:hAnsi="宋体" w:cs="宋体"/>
                <w:color w:val="000000"/>
                <w:sz w:val="18"/>
                <w:szCs w:val="18"/>
              </w:rPr>
              <w:t>完成2023年度建档立卡学生免课后服务补助支出。</w:t>
            </w:r>
          </w:p>
        </w:tc>
        <w:tc>
          <w:tcPr>
            <w:tcW w:w="7160" w:type="dxa"/>
            <w:gridSpan w:val="4"/>
            <w:tcBorders>
              <w:top w:val="single" w:color="000000" w:sz="4" w:space="0"/>
              <w:left w:val="nil"/>
              <w:bottom w:val="single" w:color="000000" w:sz="4" w:space="0"/>
              <w:right w:val="single" w:color="000000" w:sz="4" w:space="0"/>
            </w:tcBorders>
            <w:shd w:val="clear" w:color="auto" w:fill="auto"/>
            <w:vAlign w:val="center"/>
          </w:tcPr>
          <w:p w14:paraId="294F266D">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完成2023年度建档立卡学生免课后服务补助支出。</w:t>
            </w:r>
          </w:p>
        </w:tc>
      </w:tr>
      <w:tr w14:paraId="27E13E40">
        <w:tblPrEx>
          <w:tblCellMar>
            <w:top w:w="0" w:type="dxa"/>
            <w:left w:w="108" w:type="dxa"/>
            <w:bottom w:w="0" w:type="dxa"/>
            <w:right w:w="108" w:type="dxa"/>
          </w:tblCellMar>
        </w:tblPrEx>
        <w:trPr>
          <w:trHeight w:val="694" w:hRule="atLeast"/>
        </w:trPr>
        <w:tc>
          <w:tcPr>
            <w:tcW w:w="300" w:type="dxa"/>
            <w:vMerge w:val="continue"/>
            <w:tcBorders>
              <w:top w:val="nil"/>
              <w:left w:val="single" w:color="000000" w:sz="4" w:space="0"/>
              <w:bottom w:val="single" w:color="000000" w:sz="4" w:space="0"/>
              <w:right w:val="single" w:color="000000" w:sz="4" w:space="0"/>
            </w:tcBorders>
            <w:vAlign w:val="center"/>
          </w:tcPr>
          <w:p w14:paraId="19DB253E">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36AFA1E0">
            <w:pPr>
              <w:widowControl/>
              <w:autoSpaceDE/>
              <w:autoSpaceDN/>
              <w:adjustRightInd/>
              <w:rPr>
                <w:rFonts w:ascii="宋体" w:hAnsi="宋体" w:cs="宋体"/>
                <w:color w:val="000000"/>
                <w:sz w:val="18"/>
                <w:szCs w:val="18"/>
              </w:rPr>
            </w:pPr>
            <w:r>
              <w:rPr>
                <w:rFonts w:ascii="宋体" w:hAnsi="宋体" w:cs="宋体"/>
                <w:color w:val="000000"/>
                <w:sz w:val="18"/>
                <w:szCs w:val="18"/>
              </w:rPr>
              <w:t>2.项目实施内容及过程概述</w:t>
            </w:r>
          </w:p>
        </w:tc>
        <w:tc>
          <w:tcPr>
            <w:tcW w:w="8660" w:type="dxa"/>
            <w:gridSpan w:val="9"/>
            <w:tcBorders>
              <w:top w:val="single" w:color="000000" w:sz="4" w:space="0"/>
              <w:left w:val="nil"/>
              <w:bottom w:val="single" w:color="000000" w:sz="4" w:space="0"/>
              <w:right w:val="single" w:color="000000" w:sz="4" w:space="0"/>
            </w:tcBorders>
            <w:shd w:val="clear" w:color="auto" w:fill="auto"/>
            <w:vAlign w:val="center"/>
          </w:tcPr>
          <w:p w14:paraId="0FD92468">
            <w:pPr>
              <w:widowControl/>
              <w:autoSpaceDE/>
              <w:autoSpaceDN/>
              <w:adjustRightInd/>
              <w:rPr>
                <w:rFonts w:ascii="宋体" w:hAnsi="宋体" w:cs="宋体"/>
                <w:color w:val="000000"/>
                <w:sz w:val="18"/>
                <w:szCs w:val="18"/>
              </w:rPr>
            </w:pPr>
            <w:r>
              <w:rPr>
                <w:rFonts w:ascii="宋体" w:hAnsi="宋体" w:cs="宋体"/>
                <w:color w:val="000000"/>
                <w:sz w:val="18"/>
                <w:szCs w:val="18"/>
              </w:rPr>
              <w:t>按照文件要求实施</w:t>
            </w:r>
          </w:p>
        </w:tc>
      </w:tr>
      <w:tr w14:paraId="7FAB735B">
        <w:tblPrEx>
          <w:tblCellMar>
            <w:top w:w="0" w:type="dxa"/>
            <w:left w:w="108" w:type="dxa"/>
            <w:bottom w:w="0" w:type="dxa"/>
            <w:right w:w="108" w:type="dxa"/>
          </w:tblCellMar>
        </w:tblPrEx>
        <w:trPr>
          <w:trHeight w:val="360"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371C00E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预算执行情况（10分）</w:t>
            </w:r>
          </w:p>
        </w:tc>
        <w:tc>
          <w:tcPr>
            <w:tcW w:w="300" w:type="dxa"/>
            <w:tcBorders>
              <w:top w:val="nil"/>
              <w:left w:val="nil"/>
              <w:bottom w:val="single" w:color="000000" w:sz="4" w:space="0"/>
              <w:right w:val="single" w:color="000000" w:sz="4" w:space="0"/>
            </w:tcBorders>
            <w:shd w:val="clear" w:color="auto" w:fill="auto"/>
            <w:vAlign w:val="center"/>
          </w:tcPr>
          <w:p w14:paraId="64C633F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年度预算数（万元）</w:t>
            </w:r>
          </w:p>
        </w:tc>
        <w:tc>
          <w:tcPr>
            <w:tcW w:w="300" w:type="dxa"/>
            <w:tcBorders>
              <w:top w:val="nil"/>
              <w:left w:val="nil"/>
              <w:bottom w:val="single" w:color="000000" w:sz="4" w:space="0"/>
              <w:right w:val="single" w:color="000000" w:sz="4" w:space="0"/>
            </w:tcBorders>
            <w:shd w:val="clear" w:color="auto" w:fill="auto"/>
            <w:vAlign w:val="center"/>
          </w:tcPr>
          <w:p w14:paraId="3938627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年初预算</w:t>
            </w:r>
          </w:p>
        </w:tc>
        <w:tc>
          <w:tcPr>
            <w:tcW w:w="300" w:type="dxa"/>
            <w:tcBorders>
              <w:top w:val="nil"/>
              <w:left w:val="nil"/>
              <w:bottom w:val="single" w:color="000000" w:sz="4" w:space="0"/>
              <w:right w:val="single" w:color="000000" w:sz="4" w:space="0"/>
            </w:tcBorders>
            <w:shd w:val="clear" w:color="auto" w:fill="auto"/>
            <w:vAlign w:val="center"/>
          </w:tcPr>
          <w:p w14:paraId="302776A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调整后预算数</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7B725E6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预算执行数</w:t>
            </w:r>
          </w:p>
        </w:tc>
        <w:tc>
          <w:tcPr>
            <w:tcW w:w="300" w:type="dxa"/>
            <w:tcBorders>
              <w:top w:val="nil"/>
              <w:left w:val="nil"/>
              <w:bottom w:val="single" w:color="000000" w:sz="4" w:space="0"/>
              <w:right w:val="single" w:color="000000" w:sz="4" w:space="0"/>
            </w:tcBorders>
            <w:shd w:val="clear" w:color="auto" w:fill="auto"/>
            <w:vAlign w:val="center"/>
          </w:tcPr>
          <w:p w14:paraId="3579C84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预算执行率</w:t>
            </w:r>
          </w:p>
        </w:tc>
        <w:tc>
          <w:tcPr>
            <w:tcW w:w="3840" w:type="dxa"/>
            <w:tcBorders>
              <w:top w:val="nil"/>
              <w:left w:val="nil"/>
              <w:bottom w:val="single" w:color="000000" w:sz="4" w:space="0"/>
              <w:right w:val="single" w:color="000000" w:sz="4" w:space="0"/>
            </w:tcBorders>
            <w:shd w:val="clear" w:color="auto" w:fill="auto"/>
            <w:vAlign w:val="center"/>
          </w:tcPr>
          <w:p w14:paraId="0D1B5BC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0F8AAB4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14:paraId="6761E2C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原因</w:t>
            </w:r>
          </w:p>
        </w:tc>
      </w:tr>
      <w:tr w14:paraId="1D079AE0">
        <w:tblPrEx>
          <w:tblCellMar>
            <w:top w:w="0" w:type="dxa"/>
            <w:left w:w="108" w:type="dxa"/>
            <w:bottom w:w="0" w:type="dxa"/>
            <w:right w:w="108" w:type="dxa"/>
          </w:tblCellMar>
        </w:tblPrEx>
        <w:trPr>
          <w:trHeight w:val="345" w:hRule="atLeast"/>
        </w:trPr>
        <w:tc>
          <w:tcPr>
            <w:tcW w:w="300" w:type="dxa"/>
            <w:vMerge w:val="continue"/>
            <w:tcBorders>
              <w:top w:val="nil"/>
              <w:left w:val="single" w:color="000000" w:sz="4" w:space="0"/>
              <w:bottom w:val="single" w:color="000000" w:sz="4" w:space="0"/>
              <w:right w:val="single" w:color="000000" w:sz="4" w:space="0"/>
            </w:tcBorders>
            <w:vAlign w:val="center"/>
          </w:tcPr>
          <w:p w14:paraId="221CB62B">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45E065E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总额</w:t>
            </w:r>
          </w:p>
        </w:tc>
        <w:tc>
          <w:tcPr>
            <w:tcW w:w="300" w:type="dxa"/>
            <w:tcBorders>
              <w:top w:val="nil"/>
              <w:left w:val="nil"/>
              <w:bottom w:val="single" w:color="000000" w:sz="4" w:space="0"/>
              <w:right w:val="single" w:color="000000" w:sz="4" w:space="0"/>
            </w:tcBorders>
            <w:shd w:val="clear" w:color="auto" w:fill="auto"/>
            <w:vAlign w:val="center"/>
          </w:tcPr>
          <w:p w14:paraId="761B1FB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7654698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2.86</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5C7EC97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2.86</w:t>
            </w:r>
          </w:p>
        </w:tc>
        <w:tc>
          <w:tcPr>
            <w:tcW w:w="300" w:type="dxa"/>
            <w:tcBorders>
              <w:top w:val="nil"/>
              <w:left w:val="nil"/>
              <w:bottom w:val="single" w:color="000000" w:sz="4" w:space="0"/>
              <w:right w:val="single" w:color="000000" w:sz="4" w:space="0"/>
            </w:tcBorders>
            <w:shd w:val="clear" w:color="auto" w:fill="auto"/>
            <w:vAlign w:val="center"/>
          </w:tcPr>
          <w:p w14:paraId="09D8C77D">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100.00%</w:t>
            </w:r>
          </w:p>
        </w:tc>
        <w:tc>
          <w:tcPr>
            <w:tcW w:w="3840" w:type="dxa"/>
            <w:tcBorders>
              <w:top w:val="nil"/>
              <w:left w:val="nil"/>
              <w:bottom w:val="single" w:color="000000" w:sz="4" w:space="0"/>
              <w:right w:val="single" w:color="000000" w:sz="4" w:space="0"/>
            </w:tcBorders>
            <w:shd w:val="clear" w:color="auto" w:fill="auto"/>
            <w:vAlign w:val="center"/>
          </w:tcPr>
          <w:p w14:paraId="38DC147D">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14:paraId="6F14D04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2560" w:type="dxa"/>
            <w:vMerge w:val="restart"/>
            <w:tcBorders>
              <w:top w:val="nil"/>
              <w:left w:val="single" w:color="000000" w:sz="4" w:space="0"/>
              <w:bottom w:val="single" w:color="000000" w:sz="4" w:space="0"/>
              <w:right w:val="single" w:color="000000" w:sz="4" w:space="0"/>
            </w:tcBorders>
            <w:shd w:val="clear" w:color="auto" w:fill="auto"/>
            <w:vAlign w:val="center"/>
          </w:tcPr>
          <w:p w14:paraId="2D6A1B97">
            <w:pPr>
              <w:widowControl/>
              <w:autoSpaceDE/>
              <w:autoSpaceDN/>
              <w:adjustRightInd/>
              <w:rPr>
                <w:rFonts w:ascii="Courier New" w:hAnsi="Courier New" w:eastAsia="等线" w:cs="Courier New"/>
                <w:i/>
                <w:iCs/>
                <w:color w:val="000000"/>
                <w:sz w:val="18"/>
                <w:szCs w:val="18"/>
              </w:rPr>
            </w:pPr>
            <w:r>
              <w:rPr>
                <w:rFonts w:ascii="Courier New" w:hAnsi="Courier New" w:eastAsia="等线" w:cs="Courier New"/>
                <w:i/>
                <w:iCs/>
                <w:color w:val="000000"/>
                <w:sz w:val="18"/>
                <w:szCs w:val="18"/>
              </w:rPr>
              <w:t>1.预算执行率=预算执行数/调整后预算数，预算执行率未达到90%的需说明原因（100字以内）</w:t>
            </w:r>
            <w:r>
              <w:rPr>
                <w:rFonts w:hint="eastAsia" w:ascii="Courier New" w:hAnsi="Courier New" w:eastAsia="等线" w:cs="Courier New"/>
                <w:i/>
                <w:iCs/>
                <w:color w:val="000000"/>
                <w:sz w:val="18"/>
                <w:szCs w:val="18"/>
                <w:lang w:eastAsia="zh-CN"/>
              </w:rPr>
              <w:t>；</w:t>
            </w:r>
            <w:r>
              <w:rPr>
                <w:rFonts w:ascii="Courier New" w:hAnsi="Courier New" w:eastAsia="等线" w:cs="Courier New"/>
                <w:i/>
                <w:iCs/>
                <w:color w:val="000000"/>
                <w:sz w:val="18"/>
                <w:szCs w:val="18"/>
              </w:rPr>
              <w:t>2.年中发生预算调整的（追加或调减）</w:t>
            </w:r>
            <w:r>
              <w:rPr>
                <w:rFonts w:hint="eastAsia" w:ascii="Courier New" w:hAnsi="Courier New" w:eastAsia="等线" w:cs="Courier New"/>
                <w:i/>
                <w:iCs/>
                <w:color w:val="000000"/>
                <w:sz w:val="18"/>
                <w:szCs w:val="18"/>
                <w:lang w:eastAsia="zh-CN"/>
              </w:rPr>
              <w:t>，</w:t>
            </w:r>
            <w:r>
              <w:rPr>
                <w:rFonts w:ascii="Courier New" w:hAnsi="Courier New" w:eastAsia="等线" w:cs="Courier New"/>
                <w:i/>
                <w:iCs/>
                <w:color w:val="000000"/>
                <w:sz w:val="18"/>
                <w:szCs w:val="18"/>
              </w:rPr>
              <w:t>应单独说明理由；3.其他资金包括：社会投入资金、银行贷款.</w:t>
            </w:r>
          </w:p>
        </w:tc>
      </w:tr>
      <w:tr w14:paraId="13F9E1A8">
        <w:tblPrEx>
          <w:tblCellMar>
            <w:top w:w="0" w:type="dxa"/>
            <w:left w:w="108" w:type="dxa"/>
            <w:bottom w:w="0" w:type="dxa"/>
            <w:right w:w="108" w:type="dxa"/>
          </w:tblCellMar>
        </w:tblPrEx>
        <w:trPr>
          <w:trHeight w:val="390" w:hRule="atLeast"/>
        </w:trPr>
        <w:tc>
          <w:tcPr>
            <w:tcW w:w="300" w:type="dxa"/>
            <w:vMerge w:val="continue"/>
            <w:tcBorders>
              <w:top w:val="nil"/>
              <w:left w:val="single" w:color="000000" w:sz="4" w:space="0"/>
              <w:bottom w:val="single" w:color="000000" w:sz="4" w:space="0"/>
              <w:right w:val="single" w:color="000000" w:sz="4" w:space="0"/>
            </w:tcBorders>
            <w:vAlign w:val="center"/>
          </w:tcPr>
          <w:p w14:paraId="7460E071">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2087689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其中：财政资金</w:t>
            </w:r>
          </w:p>
        </w:tc>
        <w:tc>
          <w:tcPr>
            <w:tcW w:w="300" w:type="dxa"/>
            <w:tcBorders>
              <w:top w:val="nil"/>
              <w:left w:val="nil"/>
              <w:bottom w:val="single" w:color="000000" w:sz="4" w:space="0"/>
              <w:right w:val="single" w:color="000000" w:sz="4" w:space="0"/>
            </w:tcBorders>
            <w:shd w:val="clear" w:color="auto" w:fill="auto"/>
            <w:vAlign w:val="center"/>
          </w:tcPr>
          <w:p w14:paraId="5BCBECC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4614555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2.86</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5DD704B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2.86</w:t>
            </w:r>
          </w:p>
        </w:tc>
        <w:tc>
          <w:tcPr>
            <w:tcW w:w="300" w:type="dxa"/>
            <w:tcBorders>
              <w:top w:val="nil"/>
              <w:left w:val="nil"/>
              <w:bottom w:val="single" w:color="000000" w:sz="4" w:space="0"/>
              <w:right w:val="single" w:color="000000" w:sz="4" w:space="0"/>
            </w:tcBorders>
            <w:shd w:val="clear" w:color="auto" w:fill="auto"/>
            <w:vAlign w:val="center"/>
          </w:tcPr>
          <w:p w14:paraId="0F54A5D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100.00%</w:t>
            </w:r>
          </w:p>
        </w:tc>
        <w:tc>
          <w:tcPr>
            <w:tcW w:w="3840" w:type="dxa"/>
            <w:tcBorders>
              <w:top w:val="nil"/>
              <w:left w:val="nil"/>
              <w:bottom w:val="single" w:color="000000" w:sz="4" w:space="0"/>
              <w:right w:val="single" w:color="000000" w:sz="4" w:space="0"/>
            </w:tcBorders>
            <w:shd w:val="clear" w:color="auto" w:fill="auto"/>
            <w:vAlign w:val="center"/>
          </w:tcPr>
          <w:p w14:paraId="6F99E69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158326F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1CBB5CE5">
            <w:pPr>
              <w:widowControl/>
              <w:autoSpaceDE/>
              <w:autoSpaceDN/>
              <w:adjustRightInd/>
              <w:rPr>
                <w:rFonts w:ascii="Courier New" w:hAnsi="Courier New" w:eastAsia="等线" w:cs="Courier New"/>
                <w:i/>
                <w:iCs/>
                <w:color w:val="000000"/>
                <w:sz w:val="18"/>
                <w:szCs w:val="18"/>
              </w:rPr>
            </w:pPr>
          </w:p>
        </w:tc>
      </w:tr>
      <w:tr w14:paraId="462D05EF">
        <w:tblPrEx>
          <w:tblCellMar>
            <w:top w:w="0" w:type="dxa"/>
            <w:left w:w="108" w:type="dxa"/>
            <w:bottom w:w="0" w:type="dxa"/>
            <w:right w:w="108" w:type="dxa"/>
          </w:tblCellMar>
        </w:tblPrEx>
        <w:trPr>
          <w:trHeight w:val="409" w:hRule="atLeast"/>
        </w:trPr>
        <w:tc>
          <w:tcPr>
            <w:tcW w:w="300" w:type="dxa"/>
            <w:vMerge w:val="continue"/>
            <w:tcBorders>
              <w:top w:val="nil"/>
              <w:left w:val="single" w:color="000000" w:sz="4" w:space="0"/>
              <w:bottom w:val="single" w:color="000000" w:sz="4" w:space="0"/>
              <w:right w:val="single" w:color="000000" w:sz="4" w:space="0"/>
            </w:tcBorders>
            <w:vAlign w:val="center"/>
          </w:tcPr>
          <w:p w14:paraId="2C079B8A">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424F2F5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财政专户管理资金</w:t>
            </w:r>
          </w:p>
        </w:tc>
        <w:tc>
          <w:tcPr>
            <w:tcW w:w="300" w:type="dxa"/>
            <w:tcBorders>
              <w:top w:val="nil"/>
              <w:left w:val="nil"/>
              <w:bottom w:val="single" w:color="000000" w:sz="4" w:space="0"/>
              <w:right w:val="single" w:color="000000" w:sz="4" w:space="0"/>
            </w:tcBorders>
            <w:shd w:val="clear" w:color="auto" w:fill="auto"/>
            <w:vAlign w:val="center"/>
          </w:tcPr>
          <w:p w14:paraId="3291223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5CD53303">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7731BB4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33BFA00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840" w:type="dxa"/>
            <w:tcBorders>
              <w:top w:val="nil"/>
              <w:left w:val="nil"/>
              <w:bottom w:val="single" w:color="000000" w:sz="4" w:space="0"/>
              <w:right w:val="single" w:color="000000" w:sz="4" w:space="0"/>
            </w:tcBorders>
            <w:shd w:val="clear" w:color="auto" w:fill="auto"/>
            <w:vAlign w:val="center"/>
          </w:tcPr>
          <w:p w14:paraId="5454DB5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F21092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51D7AE0B">
            <w:pPr>
              <w:widowControl/>
              <w:autoSpaceDE/>
              <w:autoSpaceDN/>
              <w:adjustRightInd/>
              <w:rPr>
                <w:rFonts w:ascii="Courier New" w:hAnsi="Courier New" w:eastAsia="等线" w:cs="Courier New"/>
                <w:i/>
                <w:iCs/>
                <w:color w:val="000000"/>
                <w:sz w:val="18"/>
                <w:szCs w:val="18"/>
              </w:rPr>
            </w:pPr>
          </w:p>
        </w:tc>
      </w:tr>
      <w:tr w14:paraId="33CEE7BB">
        <w:tblPrEx>
          <w:tblCellMar>
            <w:top w:w="0" w:type="dxa"/>
            <w:left w:w="108" w:type="dxa"/>
            <w:bottom w:w="0" w:type="dxa"/>
            <w:right w:w="108" w:type="dxa"/>
          </w:tblCellMar>
        </w:tblPrEx>
        <w:trPr>
          <w:trHeight w:val="360" w:hRule="atLeast"/>
        </w:trPr>
        <w:tc>
          <w:tcPr>
            <w:tcW w:w="300" w:type="dxa"/>
            <w:vMerge w:val="continue"/>
            <w:tcBorders>
              <w:top w:val="nil"/>
              <w:left w:val="single" w:color="000000" w:sz="4" w:space="0"/>
              <w:bottom w:val="single" w:color="000000" w:sz="4" w:space="0"/>
              <w:right w:val="single" w:color="000000" w:sz="4" w:space="0"/>
            </w:tcBorders>
            <w:vAlign w:val="center"/>
          </w:tcPr>
          <w:p w14:paraId="5C018150">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4A5BFFBD">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单位资金</w:t>
            </w:r>
          </w:p>
        </w:tc>
        <w:tc>
          <w:tcPr>
            <w:tcW w:w="300" w:type="dxa"/>
            <w:tcBorders>
              <w:top w:val="nil"/>
              <w:left w:val="nil"/>
              <w:bottom w:val="single" w:color="000000" w:sz="4" w:space="0"/>
              <w:right w:val="single" w:color="000000" w:sz="4" w:space="0"/>
            </w:tcBorders>
            <w:shd w:val="clear" w:color="auto" w:fill="auto"/>
            <w:vAlign w:val="center"/>
          </w:tcPr>
          <w:p w14:paraId="6218399E">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44CE1FB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40ED352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00" w:type="dxa"/>
            <w:tcBorders>
              <w:top w:val="nil"/>
              <w:left w:val="nil"/>
              <w:bottom w:val="single" w:color="000000" w:sz="4" w:space="0"/>
              <w:right w:val="single" w:color="000000" w:sz="4" w:space="0"/>
            </w:tcBorders>
            <w:shd w:val="clear" w:color="auto" w:fill="auto"/>
            <w:vAlign w:val="center"/>
          </w:tcPr>
          <w:p w14:paraId="12A766DD">
            <w:pPr>
              <w:widowControl/>
              <w:autoSpaceDE/>
              <w:autoSpaceDN/>
              <w:adjustRightInd/>
              <w:jc w:val="center"/>
              <w:rPr>
                <w:rFonts w:ascii="宋体" w:hAnsi="宋体" w:cs="宋体"/>
                <w:color w:val="000000"/>
                <w:sz w:val="18"/>
                <w:szCs w:val="18"/>
              </w:rPr>
            </w:pPr>
            <w:r>
              <w:rPr>
                <w:rFonts w:ascii="宋体" w:hAnsi="宋体" w:cs="宋体"/>
                <w:color w:val="000000"/>
                <w:sz w:val="18"/>
                <w:szCs w:val="18"/>
              </w:rPr>
              <w:t>0.00%</w:t>
            </w:r>
          </w:p>
        </w:tc>
        <w:tc>
          <w:tcPr>
            <w:tcW w:w="3840" w:type="dxa"/>
            <w:tcBorders>
              <w:top w:val="nil"/>
              <w:left w:val="nil"/>
              <w:bottom w:val="single" w:color="000000" w:sz="4" w:space="0"/>
              <w:right w:val="single" w:color="000000" w:sz="4" w:space="0"/>
            </w:tcBorders>
            <w:shd w:val="clear" w:color="auto" w:fill="auto"/>
            <w:vAlign w:val="center"/>
          </w:tcPr>
          <w:p w14:paraId="6344166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E87B19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238590C6">
            <w:pPr>
              <w:widowControl/>
              <w:autoSpaceDE/>
              <w:autoSpaceDN/>
              <w:adjustRightInd/>
              <w:rPr>
                <w:rFonts w:ascii="Courier New" w:hAnsi="Courier New" w:eastAsia="等线" w:cs="Courier New"/>
                <w:i/>
                <w:iCs/>
                <w:color w:val="000000"/>
                <w:sz w:val="18"/>
                <w:szCs w:val="18"/>
              </w:rPr>
            </w:pPr>
          </w:p>
        </w:tc>
      </w:tr>
      <w:tr w14:paraId="570C8EA0">
        <w:tblPrEx>
          <w:tblCellMar>
            <w:top w:w="0" w:type="dxa"/>
            <w:left w:w="108" w:type="dxa"/>
            <w:bottom w:w="0" w:type="dxa"/>
            <w:right w:w="108" w:type="dxa"/>
          </w:tblCellMar>
        </w:tblPrEx>
        <w:trPr>
          <w:trHeight w:val="338" w:hRule="atLeast"/>
        </w:trPr>
        <w:tc>
          <w:tcPr>
            <w:tcW w:w="300" w:type="dxa"/>
            <w:vMerge w:val="continue"/>
            <w:tcBorders>
              <w:top w:val="nil"/>
              <w:left w:val="single" w:color="000000" w:sz="4" w:space="0"/>
              <w:bottom w:val="single" w:color="000000" w:sz="4" w:space="0"/>
              <w:right w:val="single" w:color="000000" w:sz="4" w:space="0"/>
            </w:tcBorders>
            <w:vAlign w:val="center"/>
          </w:tcPr>
          <w:p w14:paraId="235C4A4F">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09B1E49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其他资金</w:t>
            </w:r>
          </w:p>
        </w:tc>
        <w:tc>
          <w:tcPr>
            <w:tcW w:w="300" w:type="dxa"/>
            <w:tcBorders>
              <w:top w:val="nil"/>
              <w:left w:val="nil"/>
              <w:bottom w:val="single" w:color="000000" w:sz="4" w:space="0"/>
              <w:right w:val="single" w:color="000000" w:sz="4" w:space="0"/>
            </w:tcBorders>
            <w:shd w:val="clear" w:color="auto" w:fill="auto"/>
            <w:vAlign w:val="center"/>
          </w:tcPr>
          <w:p w14:paraId="0AFB7DE5">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00" w:type="dxa"/>
            <w:tcBorders>
              <w:top w:val="nil"/>
              <w:left w:val="nil"/>
              <w:bottom w:val="single" w:color="000000" w:sz="4" w:space="0"/>
              <w:right w:val="single" w:color="000000" w:sz="4" w:space="0"/>
            </w:tcBorders>
            <w:shd w:val="clear" w:color="auto" w:fill="auto"/>
            <w:vAlign w:val="center"/>
          </w:tcPr>
          <w:p w14:paraId="6C4BC9E9">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900" w:type="dxa"/>
            <w:gridSpan w:val="3"/>
            <w:tcBorders>
              <w:top w:val="single" w:color="000000" w:sz="4" w:space="0"/>
              <w:left w:val="nil"/>
              <w:bottom w:val="single" w:color="000000" w:sz="4" w:space="0"/>
              <w:right w:val="single" w:color="000000" w:sz="4" w:space="0"/>
            </w:tcBorders>
            <w:shd w:val="clear" w:color="auto" w:fill="auto"/>
            <w:vAlign w:val="center"/>
          </w:tcPr>
          <w:p w14:paraId="2DF8B7A9">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00" w:type="dxa"/>
            <w:tcBorders>
              <w:top w:val="nil"/>
              <w:left w:val="nil"/>
              <w:bottom w:val="single" w:color="000000" w:sz="4" w:space="0"/>
              <w:right w:val="single" w:color="000000" w:sz="4" w:space="0"/>
            </w:tcBorders>
            <w:shd w:val="clear" w:color="auto" w:fill="auto"/>
            <w:vAlign w:val="center"/>
          </w:tcPr>
          <w:p w14:paraId="5DD4DC75">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840" w:type="dxa"/>
            <w:tcBorders>
              <w:top w:val="nil"/>
              <w:left w:val="nil"/>
              <w:bottom w:val="single" w:color="000000" w:sz="4" w:space="0"/>
              <w:right w:val="single" w:color="000000" w:sz="4" w:space="0"/>
            </w:tcBorders>
            <w:shd w:val="clear" w:color="auto" w:fill="auto"/>
            <w:vAlign w:val="center"/>
          </w:tcPr>
          <w:p w14:paraId="6AC0ED3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460" w:type="dxa"/>
            <w:tcBorders>
              <w:top w:val="nil"/>
              <w:left w:val="nil"/>
              <w:bottom w:val="single" w:color="000000" w:sz="4" w:space="0"/>
              <w:right w:val="single" w:color="000000" w:sz="4" w:space="0"/>
            </w:tcBorders>
            <w:shd w:val="clear" w:color="auto" w:fill="auto"/>
            <w:vAlign w:val="center"/>
          </w:tcPr>
          <w:p w14:paraId="3EFACF3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w:t>
            </w:r>
          </w:p>
        </w:tc>
        <w:tc>
          <w:tcPr>
            <w:tcW w:w="2560" w:type="dxa"/>
            <w:vMerge w:val="continue"/>
            <w:tcBorders>
              <w:top w:val="nil"/>
              <w:left w:val="single" w:color="000000" w:sz="4" w:space="0"/>
              <w:bottom w:val="single" w:color="000000" w:sz="4" w:space="0"/>
              <w:right w:val="single" w:color="000000" w:sz="4" w:space="0"/>
            </w:tcBorders>
            <w:vAlign w:val="center"/>
          </w:tcPr>
          <w:p w14:paraId="0B69BCDA">
            <w:pPr>
              <w:widowControl/>
              <w:autoSpaceDE/>
              <w:autoSpaceDN/>
              <w:adjustRightInd/>
              <w:rPr>
                <w:rFonts w:ascii="Courier New" w:hAnsi="Courier New" w:eastAsia="等线" w:cs="Courier New"/>
                <w:i/>
                <w:iCs/>
                <w:color w:val="000000"/>
                <w:sz w:val="18"/>
                <w:szCs w:val="18"/>
              </w:rPr>
            </w:pPr>
          </w:p>
        </w:tc>
      </w:tr>
      <w:tr w14:paraId="4E42A913">
        <w:tblPrEx>
          <w:tblCellMar>
            <w:top w:w="0" w:type="dxa"/>
            <w:left w:w="108" w:type="dxa"/>
            <w:bottom w:w="0" w:type="dxa"/>
            <w:right w:w="108" w:type="dxa"/>
          </w:tblCellMar>
        </w:tblPrEx>
        <w:trPr>
          <w:trHeight w:val="454" w:hRule="atLeast"/>
        </w:trPr>
        <w:tc>
          <w:tcPr>
            <w:tcW w:w="300" w:type="dxa"/>
            <w:vMerge w:val="restart"/>
            <w:tcBorders>
              <w:top w:val="nil"/>
              <w:left w:val="single" w:color="000000" w:sz="4" w:space="0"/>
              <w:bottom w:val="single" w:color="000000" w:sz="4" w:space="0"/>
              <w:right w:val="single" w:color="000000" w:sz="4" w:space="0"/>
            </w:tcBorders>
            <w:shd w:val="clear" w:color="auto" w:fill="auto"/>
            <w:vAlign w:val="center"/>
          </w:tcPr>
          <w:p w14:paraId="51A0EED9">
            <w:pPr>
              <w:widowControl/>
              <w:autoSpaceDE/>
              <w:autoSpaceDN/>
              <w:adjustRightInd/>
              <w:jc w:val="center"/>
              <w:rPr>
                <w:rFonts w:ascii="宋体" w:hAnsi="宋体" w:cs="宋体"/>
                <w:color w:val="000000"/>
                <w:sz w:val="18"/>
                <w:szCs w:val="18"/>
              </w:rPr>
            </w:pPr>
            <w:r>
              <w:rPr>
                <w:rFonts w:ascii="宋体" w:hAnsi="宋体" w:cs="宋体"/>
                <w:color w:val="000000"/>
                <w:sz w:val="18"/>
                <w:szCs w:val="18"/>
              </w:rPr>
              <w:t>绩效指标（90分）</w:t>
            </w:r>
          </w:p>
        </w:tc>
        <w:tc>
          <w:tcPr>
            <w:tcW w:w="300" w:type="dxa"/>
            <w:tcBorders>
              <w:top w:val="nil"/>
              <w:left w:val="nil"/>
              <w:bottom w:val="single" w:color="000000" w:sz="4" w:space="0"/>
              <w:right w:val="single" w:color="000000" w:sz="4" w:space="0"/>
            </w:tcBorders>
            <w:shd w:val="clear" w:color="auto" w:fill="auto"/>
            <w:vAlign w:val="center"/>
          </w:tcPr>
          <w:p w14:paraId="002A6B1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一级指标</w:t>
            </w:r>
          </w:p>
        </w:tc>
        <w:tc>
          <w:tcPr>
            <w:tcW w:w="300" w:type="dxa"/>
            <w:tcBorders>
              <w:top w:val="nil"/>
              <w:left w:val="nil"/>
              <w:bottom w:val="single" w:color="000000" w:sz="4" w:space="0"/>
              <w:right w:val="single" w:color="000000" w:sz="4" w:space="0"/>
            </w:tcBorders>
            <w:shd w:val="clear" w:color="auto" w:fill="auto"/>
            <w:vAlign w:val="center"/>
          </w:tcPr>
          <w:p w14:paraId="42BC28E1">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二级指标</w:t>
            </w:r>
          </w:p>
        </w:tc>
        <w:tc>
          <w:tcPr>
            <w:tcW w:w="300" w:type="dxa"/>
            <w:tcBorders>
              <w:top w:val="nil"/>
              <w:left w:val="nil"/>
              <w:bottom w:val="single" w:color="000000" w:sz="4" w:space="0"/>
              <w:right w:val="single" w:color="000000" w:sz="4" w:space="0"/>
            </w:tcBorders>
            <w:shd w:val="clear" w:color="auto" w:fill="auto"/>
            <w:vAlign w:val="center"/>
          </w:tcPr>
          <w:p w14:paraId="0DC1341B">
            <w:pPr>
              <w:widowControl/>
              <w:autoSpaceDE/>
              <w:autoSpaceDN/>
              <w:adjustRightInd/>
              <w:jc w:val="center"/>
              <w:rPr>
                <w:rFonts w:ascii="宋体" w:hAnsi="宋体" w:cs="宋体"/>
                <w:color w:val="000000"/>
                <w:sz w:val="18"/>
                <w:szCs w:val="18"/>
              </w:rPr>
            </w:pPr>
            <w:r>
              <w:rPr>
                <w:rFonts w:ascii="宋体" w:hAnsi="宋体" w:cs="宋体"/>
                <w:color w:val="000000"/>
                <w:sz w:val="18"/>
                <w:szCs w:val="18"/>
              </w:rPr>
              <w:t>三级指标</w:t>
            </w:r>
          </w:p>
        </w:tc>
        <w:tc>
          <w:tcPr>
            <w:tcW w:w="300" w:type="dxa"/>
            <w:tcBorders>
              <w:top w:val="nil"/>
              <w:left w:val="nil"/>
              <w:bottom w:val="single" w:color="000000" w:sz="4" w:space="0"/>
              <w:right w:val="single" w:color="000000" w:sz="4" w:space="0"/>
            </w:tcBorders>
            <w:shd w:val="clear" w:color="auto" w:fill="auto"/>
            <w:vAlign w:val="center"/>
          </w:tcPr>
          <w:p w14:paraId="77DBFED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指标性质</w:t>
            </w:r>
          </w:p>
        </w:tc>
        <w:tc>
          <w:tcPr>
            <w:tcW w:w="300" w:type="dxa"/>
            <w:tcBorders>
              <w:top w:val="nil"/>
              <w:left w:val="nil"/>
              <w:bottom w:val="single" w:color="000000" w:sz="4" w:space="0"/>
              <w:right w:val="single" w:color="000000" w:sz="4" w:space="0"/>
            </w:tcBorders>
            <w:shd w:val="clear" w:color="auto" w:fill="auto"/>
            <w:vAlign w:val="center"/>
          </w:tcPr>
          <w:p w14:paraId="58B82C62">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指标值</w:t>
            </w:r>
          </w:p>
        </w:tc>
        <w:tc>
          <w:tcPr>
            <w:tcW w:w="300" w:type="dxa"/>
            <w:tcBorders>
              <w:top w:val="nil"/>
              <w:left w:val="nil"/>
              <w:bottom w:val="single" w:color="000000" w:sz="4" w:space="0"/>
              <w:right w:val="single" w:color="000000" w:sz="4" w:space="0"/>
            </w:tcBorders>
            <w:shd w:val="clear" w:color="auto" w:fill="auto"/>
            <w:vAlign w:val="center"/>
          </w:tcPr>
          <w:p w14:paraId="1612238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度量单位</w:t>
            </w:r>
          </w:p>
        </w:tc>
        <w:tc>
          <w:tcPr>
            <w:tcW w:w="300" w:type="dxa"/>
            <w:tcBorders>
              <w:top w:val="nil"/>
              <w:left w:val="nil"/>
              <w:bottom w:val="single" w:color="000000" w:sz="4" w:space="0"/>
              <w:right w:val="single" w:color="000000" w:sz="4" w:space="0"/>
            </w:tcBorders>
            <w:shd w:val="clear" w:color="auto" w:fill="auto"/>
            <w:vAlign w:val="center"/>
          </w:tcPr>
          <w:p w14:paraId="0B6A417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完成值</w:t>
            </w:r>
          </w:p>
        </w:tc>
        <w:tc>
          <w:tcPr>
            <w:tcW w:w="3840" w:type="dxa"/>
            <w:tcBorders>
              <w:top w:val="nil"/>
              <w:left w:val="nil"/>
              <w:bottom w:val="single" w:color="000000" w:sz="4" w:space="0"/>
              <w:right w:val="single" w:color="000000" w:sz="4" w:space="0"/>
            </w:tcBorders>
            <w:shd w:val="clear" w:color="auto" w:fill="auto"/>
            <w:vAlign w:val="center"/>
          </w:tcPr>
          <w:p w14:paraId="2EC5A55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14:paraId="5CA2C11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得分</w:t>
            </w:r>
          </w:p>
        </w:tc>
        <w:tc>
          <w:tcPr>
            <w:tcW w:w="2560" w:type="dxa"/>
            <w:tcBorders>
              <w:top w:val="nil"/>
              <w:left w:val="nil"/>
              <w:bottom w:val="single" w:color="000000" w:sz="4" w:space="0"/>
              <w:right w:val="single" w:color="000000" w:sz="4" w:space="0"/>
            </w:tcBorders>
            <w:shd w:val="clear" w:color="auto" w:fill="auto"/>
            <w:vAlign w:val="center"/>
          </w:tcPr>
          <w:p w14:paraId="5F47187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未完成原因分析</w:t>
            </w:r>
          </w:p>
        </w:tc>
      </w:tr>
      <w:tr w14:paraId="5A7609A1">
        <w:tblPrEx>
          <w:tblCellMar>
            <w:top w:w="0" w:type="dxa"/>
            <w:left w:w="108" w:type="dxa"/>
            <w:bottom w:w="0" w:type="dxa"/>
            <w:right w:w="108" w:type="dxa"/>
          </w:tblCellMar>
        </w:tblPrEx>
        <w:trPr>
          <w:trHeight w:val="338" w:hRule="atLeast"/>
        </w:trPr>
        <w:tc>
          <w:tcPr>
            <w:tcW w:w="300" w:type="dxa"/>
            <w:vMerge w:val="continue"/>
            <w:tcBorders>
              <w:top w:val="nil"/>
              <w:left w:val="single" w:color="000000" w:sz="4" w:space="0"/>
              <w:bottom w:val="single" w:color="000000" w:sz="4" w:space="0"/>
              <w:right w:val="single" w:color="000000" w:sz="4" w:space="0"/>
            </w:tcBorders>
            <w:vAlign w:val="center"/>
          </w:tcPr>
          <w:p w14:paraId="13FF01AD">
            <w:pPr>
              <w:widowControl/>
              <w:autoSpaceDE/>
              <w:autoSpaceDN/>
              <w:adjustRightInd/>
              <w:rPr>
                <w:rFonts w:ascii="宋体" w:hAnsi="宋体" w:cs="宋体"/>
                <w:color w:val="000000"/>
                <w:sz w:val="18"/>
                <w:szCs w:val="18"/>
              </w:rPr>
            </w:pPr>
          </w:p>
        </w:tc>
        <w:tc>
          <w:tcPr>
            <w:tcW w:w="300" w:type="dxa"/>
            <w:tcBorders>
              <w:top w:val="nil"/>
              <w:left w:val="nil"/>
              <w:bottom w:val="single" w:color="000000" w:sz="4" w:space="0"/>
              <w:right w:val="single" w:color="000000" w:sz="4" w:space="0"/>
            </w:tcBorders>
            <w:shd w:val="clear" w:color="auto" w:fill="auto"/>
            <w:vAlign w:val="center"/>
          </w:tcPr>
          <w:p w14:paraId="569EEC74">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1A705BCC">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628D618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620E591A">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4EAFCAD5">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2D87C0A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300" w:type="dxa"/>
            <w:tcBorders>
              <w:top w:val="nil"/>
              <w:left w:val="nil"/>
              <w:bottom w:val="single" w:color="000000" w:sz="4" w:space="0"/>
              <w:right w:val="single" w:color="000000" w:sz="4" w:space="0"/>
            </w:tcBorders>
            <w:shd w:val="clear" w:color="auto" w:fill="auto"/>
            <w:vAlign w:val="center"/>
          </w:tcPr>
          <w:p w14:paraId="7C603F4F">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c>
          <w:tcPr>
            <w:tcW w:w="3840" w:type="dxa"/>
            <w:tcBorders>
              <w:top w:val="nil"/>
              <w:left w:val="nil"/>
              <w:bottom w:val="single" w:color="000000" w:sz="4" w:space="0"/>
              <w:right w:val="single" w:color="000000" w:sz="4" w:space="0"/>
            </w:tcBorders>
            <w:shd w:val="clear" w:color="auto" w:fill="auto"/>
            <w:vAlign w:val="center"/>
          </w:tcPr>
          <w:p w14:paraId="02C95C1D">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14:paraId="20CEAE37">
            <w:pPr>
              <w:widowControl/>
              <w:autoSpaceDE/>
              <w:autoSpaceDN/>
              <w:adjustRightInd/>
              <w:jc w:val="center"/>
              <w:rPr>
                <w:rFonts w:ascii="宋体" w:hAnsi="宋体" w:cs="宋体"/>
                <w:color w:val="000000"/>
                <w:sz w:val="18"/>
                <w:szCs w:val="18"/>
              </w:rPr>
            </w:pPr>
            <w:r>
              <w:rPr>
                <w:rFonts w:ascii="宋体" w:hAnsi="宋体" w:cs="宋体"/>
                <w:color w:val="00000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14:paraId="5D9BEA87">
            <w:pPr>
              <w:widowControl/>
              <w:autoSpaceDE/>
              <w:autoSpaceDN/>
              <w:adjustRightInd/>
              <w:jc w:val="center"/>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　</w:t>
            </w:r>
          </w:p>
        </w:tc>
      </w:tr>
      <w:tr w14:paraId="67C30B8C">
        <w:tblPrEx>
          <w:tblCellMar>
            <w:top w:w="0" w:type="dxa"/>
            <w:left w:w="108" w:type="dxa"/>
            <w:bottom w:w="0" w:type="dxa"/>
            <w:right w:w="108" w:type="dxa"/>
          </w:tblCellMar>
        </w:tblPrEx>
        <w:trPr>
          <w:trHeight w:val="285" w:hRule="atLeast"/>
        </w:trPr>
        <w:tc>
          <w:tcPr>
            <w:tcW w:w="2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57448F">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合计</w:t>
            </w:r>
          </w:p>
        </w:tc>
        <w:tc>
          <w:tcPr>
            <w:tcW w:w="3840" w:type="dxa"/>
            <w:tcBorders>
              <w:top w:val="nil"/>
              <w:left w:val="nil"/>
              <w:bottom w:val="single" w:color="000000" w:sz="4" w:space="0"/>
              <w:right w:val="single" w:color="000000" w:sz="4" w:space="0"/>
            </w:tcBorders>
            <w:shd w:val="clear" w:color="auto" w:fill="auto"/>
            <w:vAlign w:val="center"/>
          </w:tcPr>
          <w:p w14:paraId="4280631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14:paraId="490551AE">
            <w:pPr>
              <w:widowControl/>
              <w:autoSpaceDE/>
              <w:autoSpaceDN/>
              <w:adjustRightInd/>
              <w:rPr>
                <w:rFonts w:ascii="宋体" w:hAnsi="宋体" w:cs="宋体"/>
                <w:color w:val="000000"/>
                <w:sz w:val="18"/>
                <w:szCs w:val="18"/>
              </w:rPr>
            </w:pPr>
            <w:r>
              <w:rPr>
                <w:rFonts w:ascii="宋体" w:hAnsi="宋体" w:cs="宋体"/>
                <w:color w:val="000000"/>
                <w:sz w:val="18"/>
                <w:szCs w:val="18"/>
              </w:rPr>
              <w:t>　</w:t>
            </w:r>
          </w:p>
        </w:tc>
        <w:tc>
          <w:tcPr>
            <w:tcW w:w="2560" w:type="dxa"/>
            <w:tcBorders>
              <w:top w:val="nil"/>
              <w:left w:val="nil"/>
              <w:bottom w:val="single" w:color="000000" w:sz="4" w:space="0"/>
              <w:right w:val="single" w:color="000000" w:sz="4" w:space="0"/>
            </w:tcBorders>
            <w:shd w:val="clear" w:color="auto" w:fill="auto"/>
            <w:vAlign w:val="center"/>
          </w:tcPr>
          <w:p w14:paraId="53B88263">
            <w:pPr>
              <w:widowControl/>
              <w:autoSpaceDE/>
              <w:autoSpaceDN/>
              <w:adjustRightInd/>
              <w:rPr>
                <w:rFonts w:ascii="宋体" w:hAnsi="宋体" w:cs="宋体"/>
                <w:color w:val="000000"/>
                <w:sz w:val="18"/>
                <w:szCs w:val="18"/>
              </w:rPr>
            </w:pPr>
            <w:r>
              <w:rPr>
                <w:rFonts w:ascii="宋体" w:hAnsi="宋体" w:cs="宋体"/>
                <w:color w:val="000000"/>
                <w:sz w:val="18"/>
                <w:szCs w:val="18"/>
              </w:rPr>
              <w:t>　</w:t>
            </w:r>
          </w:p>
        </w:tc>
      </w:tr>
      <w:tr w14:paraId="027D4644">
        <w:tblPrEx>
          <w:tblCellMar>
            <w:top w:w="0" w:type="dxa"/>
            <w:left w:w="108" w:type="dxa"/>
            <w:bottom w:w="0" w:type="dxa"/>
            <w:right w:w="108" w:type="dxa"/>
          </w:tblCellMar>
        </w:tblPrEx>
        <w:trPr>
          <w:trHeight w:val="60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5F44CDE0">
            <w:pPr>
              <w:widowControl/>
              <w:autoSpaceDE/>
              <w:autoSpaceDN/>
              <w:adjustRightInd/>
              <w:jc w:val="center"/>
              <w:rPr>
                <w:rFonts w:ascii="宋体" w:hAnsi="宋体" w:cs="宋体"/>
                <w:color w:val="000000"/>
                <w:sz w:val="18"/>
                <w:szCs w:val="18"/>
              </w:rPr>
            </w:pPr>
            <w:r>
              <w:rPr>
                <w:rFonts w:ascii="宋体" w:hAnsi="宋体" w:cs="宋体"/>
                <w:color w:val="000000"/>
                <w:sz w:val="18"/>
                <w:szCs w:val="18"/>
              </w:rPr>
              <w:t>评价结论</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3F497167">
            <w:pPr>
              <w:widowControl/>
              <w:autoSpaceDE/>
              <w:autoSpaceDN/>
              <w:adjustRightInd/>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lang w:eastAsia="zh-CN"/>
              </w:rPr>
              <w:t>结合自</w:t>
            </w:r>
            <w:r>
              <w:rPr>
                <w:rFonts w:ascii="微软雅黑" w:hAnsi="微软雅黑" w:eastAsia="微软雅黑" w:cs="宋体"/>
                <w:i/>
                <w:iCs/>
                <w:color w:val="000000"/>
                <w:sz w:val="16"/>
                <w:szCs w:val="16"/>
              </w:rPr>
              <w:t>评情况，说明项目自评总分，说明项目实施取得的成效或成果。（200字以内）</w:t>
            </w:r>
          </w:p>
        </w:tc>
      </w:tr>
      <w:tr w14:paraId="33EC7225">
        <w:tblPrEx>
          <w:tblCellMar>
            <w:top w:w="0" w:type="dxa"/>
            <w:left w:w="108" w:type="dxa"/>
            <w:bottom w:w="0" w:type="dxa"/>
            <w:right w:w="108" w:type="dxa"/>
          </w:tblCellMar>
        </w:tblPrEx>
        <w:trPr>
          <w:trHeight w:val="57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0B7CE148">
            <w:pPr>
              <w:widowControl/>
              <w:autoSpaceDE/>
              <w:autoSpaceDN/>
              <w:adjustRightInd/>
              <w:jc w:val="center"/>
              <w:rPr>
                <w:rFonts w:ascii="宋体" w:hAnsi="宋体" w:cs="宋体"/>
                <w:color w:val="000000"/>
                <w:sz w:val="18"/>
                <w:szCs w:val="18"/>
              </w:rPr>
            </w:pPr>
            <w:r>
              <w:rPr>
                <w:rFonts w:ascii="宋体" w:hAnsi="宋体" w:cs="宋体"/>
                <w:color w:val="000000"/>
                <w:sz w:val="18"/>
                <w:szCs w:val="18"/>
              </w:rPr>
              <w:t>存在问题</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520CCE40">
            <w:pPr>
              <w:widowControl/>
              <w:autoSpaceDE/>
              <w:autoSpaceDN/>
              <w:adjustRightInd/>
              <w:rPr>
                <w:rFonts w:ascii="微软雅黑" w:hAnsi="微软雅黑" w:eastAsia="微软雅黑" w:cs="宋体"/>
                <w:i/>
                <w:iCs/>
                <w:color w:val="000000"/>
                <w:sz w:val="16"/>
                <w:szCs w:val="16"/>
              </w:rPr>
            </w:pPr>
            <w:r>
              <w:rPr>
                <w:rFonts w:hint="eastAsia" w:ascii="微软雅黑" w:hAnsi="微软雅黑" w:eastAsia="微软雅黑" w:cs="宋体"/>
                <w:i/>
                <w:iCs/>
                <w:color w:val="000000"/>
                <w:sz w:val="16"/>
                <w:szCs w:val="16"/>
                <w:lang w:eastAsia="zh-CN"/>
              </w:rPr>
              <w:t>结合自</w:t>
            </w:r>
            <w:r>
              <w:rPr>
                <w:rFonts w:ascii="微软雅黑" w:hAnsi="微软雅黑" w:eastAsia="微软雅黑" w:cs="宋体"/>
                <w:i/>
                <w:iCs/>
                <w:color w:val="000000"/>
                <w:sz w:val="16"/>
                <w:szCs w:val="16"/>
              </w:rPr>
              <w:t>评情况，分析存在的问题及原因。（200字以内）</w:t>
            </w:r>
          </w:p>
        </w:tc>
      </w:tr>
      <w:tr w14:paraId="1E3A923D">
        <w:tblPrEx>
          <w:tblCellMar>
            <w:top w:w="0" w:type="dxa"/>
            <w:left w:w="108" w:type="dxa"/>
            <w:bottom w:w="0" w:type="dxa"/>
            <w:right w:w="108" w:type="dxa"/>
          </w:tblCellMar>
        </w:tblPrEx>
        <w:trPr>
          <w:trHeight w:val="634" w:hRule="atLeast"/>
        </w:trPr>
        <w:tc>
          <w:tcPr>
            <w:tcW w:w="300" w:type="dxa"/>
            <w:tcBorders>
              <w:top w:val="nil"/>
              <w:left w:val="single" w:color="000000" w:sz="4" w:space="0"/>
              <w:bottom w:val="single" w:color="000000" w:sz="4" w:space="0"/>
              <w:right w:val="single" w:color="000000" w:sz="4" w:space="0"/>
            </w:tcBorders>
            <w:shd w:val="clear" w:color="auto" w:fill="auto"/>
            <w:vAlign w:val="center"/>
          </w:tcPr>
          <w:p w14:paraId="057DF0F6">
            <w:pPr>
              <w:widowControl/>
              <w:autoSpaceDE/>
              <w:autoSpaceDN/>
              <w:adjustRightInd/>
              <w:jc w:val="center"/>
              <w:rPr>
                <w:rFonts w:ascii="宋体" w:hAnsi="宋体" w:cs="宋体"/>
                <w:color w:val="000000"/>
                <w:sz w:val="18"/>
                <w:szCs w:val="18"/>
              </w:rPr>
            </w:pPr>
            <w:r>
              <w:rPr>
                <w:rFonts w:ascii="宋体" w:hAnsi="宋体" w:cs="宋体"/>
                <w:color w:val="000000"/>
                <w:sz w:val="18"/>
                <w:szCs w:val="18"/>
              </w:rPr>
              <w:t>改进措施</w:t>
            </w:r>
          </w:p>
        </w:tc>
        <w:tc>
          <w:tcPr>
            <w:tcW w:w="8960" w:type="dxa"/>
            <w:gridSpan w:val="10"/>
            <w:tcBorders>
              <w:top w:val="single" w:color="000000" w:sz="4" w:space="0"/>
              <w:left w:val="nil"/>
              <w:bottom w:val="single" w:color="000000" w:sz="4" w:space="0"/>
              <w:right w:val="single" w:color="000000" w:sz="4" w:space="0"/>
            </w:tcBorders>
            <w:shd w:val="clear" w:color="auto" w:fill="auto"/>
            <w:vAlign w:val="center"/>
          </w:tcPr>
          <w:p w14:paraId="582618F6">
            <w:pPr>
              <w:widowControl/>
              <w:autoSpaceDE/>
              <w:autoSpaceDN/>
              <w:adjustRightInd/>
              <w:rPr>
                <w:rFonts w:ascii="微软雅黑" w:hAnsi="微软雅黑" w:eastAsia="微软雅黑" w:cs="宋体"/>
                <w:i/>
                <w:iCs/>
                <w:color w:val="000000"/>
                <w:sz w:val="16"/>
                <w:szCs w:val="16"/>
              </w:rPr>
            </w:pPr>
            <w:r>
              <w:rPr>
                <w:rFonts w:ascii="微软雅黑" w:hAnsi="微软雅黑" w:eastAsia="微软雅黑" w:cs="宋体"/>
                <w:i/>
                <w:iCs/>
                <w:color w:val="000000"/>
                <w:sz w:val="16"/>
                <w:szCs w:val="16"/>
              </w:rPr>
              <w:t>针对项目自评中发现的问题，提出下一步改进完善的意见及有关政策性建议。（200字以内）</w:t>
            </w:r>
          </w:p>
        </w:tc>
      </w:tr>
      <w:tr w14:paraId="5EA20741">
        <w:tblPrEx>
          <w:tblCellMar>
            <w:top w:w="0" w:type="dxa"/>
            <w:left w:w="108" w:type="dxa"/>
            <w:bottom w:w="0" w:type="dxa"/>
            <w:right w:w="108" w:type="dxa"/>
          </w:tblCellMar>
        </w:tblPrEx>
        <w:trPr>
          <w:trHeight w:val="285" w:hRule="atLeast"/>
        </w:trPr>
        <w:tc>
          <w:tcPr>
            <w:tcW w:w="1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487A1">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项目负责人：杨科</w:t>
            </w:r>
          </w:p>
        </w:tc>
        <w:tc>
          <w:tcPr>
            <w:tcW w:w="7760" w:type="dxa"/>
            <w:gridSpan w:val="6"/>
            <w:tcBorders>
              <w:top w:val="single" w:color="000000" w:sz="4" w:space="0"/>
              <w:left w:val="nil"/>
              <w:bottom w:val="single" w:color="000000" w:sz="4" w:space="0"/>
              <w:right w:val="single" w:color="000000" w:sz="4" w:space="0"/>
            </w:tcBorders>
            <w:shd w:val="clear" w:color="auto" w:fill="auto"/>
            <w:vAlign w:val="center"/>
          </w:tcPr>
          <w:p w14:paraId="17EF8E14">
            <w:pPr>
              <w:widowControl/>
              <w:autoSpaceDE/>
              <w:autoSpaceDN/>
              <w:adjustRightInd/>
              <w:rPr>
                <w:rFonts w:ascii="Courier New" w:hAnsi="Courier New" w:eastAsia="等线" w:cs="Courier New"/>
                <w:color w:val="000000"/>
                <w:sz w:val="18"/>
                <w:szCs w:val="18"/>
              </w:rPr>
            </w:pPr>
            <w:r>
              <w:rPr>
                <w:rFonts w:ascii="Courier New" w:hAnsi="Courier New" w:eastAsia="等线" w:cs="Courier New"/>
                <w:color w:val="000000"/>
                <w:sz w:val="18"/>
                <w:szCs w:val="18"/>
              </w:rPr>
              <w:t>财务负责人：何成</w:t>
            </w:r>
          </w:p>
        </w:tc>
      </w:tr>
      <w:tr w14:paraId="7A5A2881">
        <w:tblPrEx>
          <w:tblCellMar>
            <w:top w:w="0" w:type="dxa"/>
            <w:left w:w="108" w:type="dxa"/>
            <w:bottom w:w="0" w:type="dxa"/>
            <w:right w:w="108" w:type="dxa"/>
          </w:tblCellMar>
        </w:tblPrEx>
        <w:trPr>
          <w:trHeight w:val="285" w:hRule="atLeast"/>
        </w:trPr>
        <w:tc>
          <w:tcPr>
            <w:tcW w:w="300" w:type="dxa"/>
            <w:tcBorders>
              <w:top w:val="nil"/>
              <w:left w:val="nil"/>
              <w:bottom w:val="nil"/>
              <w:right w:val="nil"/>
            </w:tcBorders>
            <w:shd w:val="clear" w:color="auto" w:fill="auto"/>
            <w:vAlign w:val="center"/>
          </w:tcPr>
          <w:p w14:paraId="235B889E">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5209C758">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65BD53E4">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30169D6D">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63FDB242">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7DF249E8">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3952950A">
            <w:pPr>
              <w:widowControl/>
              <w:autoSpaceDE/>
              <w:autoSpaceDN/>
              <w:adjustRightInd/>
              <w:rPr>
                <w:rFonts w:ascii="宋体" w:hAnsi="宋体" w:cs="宋体"/>
                <w:sz w:val="18"/>
                <w:szCs w:val="18"/>
              </w:rPr>
            </w:pPr>
            <w:r>
              <w:rPr>
                <w:rFonts w:ascii="宋体" w:hAnsi="宋体" w:cs="宋体"/>
                <w:sz w:val="18"/>
                <w:szCs w:val="18"/>
              </w:rPr>
              <w:t>　</w:t>
            </w:r>
          </w:p>
        </w:tc>
        <w:tc>
          <w:tcPr>
            <w:tcW w:w="300" w:type="dxa"/>
            <w:tcBorders>
              <w:top w:val="nil"/>
              <w:left w:val="nil"/>
              <w:bottom w:val="nil"/>
              <w:right w:val="nil"/>
            </w:tcBorders>
            <w:shd w:val="clear" w:color="auto" w:fill="auto"/>
            <w:vAlign w:val="center"/>
          </w:tcPr>
          <w:p w14:paraId="06137A42">
            <w:pPr>
              <w:widowControl/>
              <w:autoSpaceDE/>
              <w:autoSpaceDN/>
              <w:adjustRightInd/>
              <w:rPr>
                <w:rFonts w:ascii="宋体" w:hAnsi="宋体" w:cs="宋体"/>
                <w:sz w:val="18"/>
                <w:szCs w:val="18"/>
              </w:rPr>
            </w:pPr>
            <w:r>
              <w:rPr>
                <w:rFonts w:ascii="宋体" w:hAnsi="宋体" w:cs="宋体"/>
                <w:sz w:val="18"/>
                <w:szCs w:val="18"/>
              </w:rPr>
              <w:t>　</w:t>
            </w:r>
          </w:p>
        </w:tc>
        <w:tc>
          <w:tcPr>
            <w:tcW w:w="3840" w:type="dxa"/>
            <w:tcBorders>
              <w:top w:val="nil"/>
              <w:left w:val="nil"/>
              <w:bottom w:val="nil"/>
              <w:right w:val="nil"/>
            </w:tcBorders>
            <w:shd w:val="clear" w:color="auto" w:fill="auto"/>
            <w:vAlign w:val="center"/>
          </w:tcPr>
          <w:p w14:paraId="1D4A87EC">
            <w:pPr>
              <w:widowControl/>
              <w:autoSpaceDE/>
              <w:autoSpaceDN/>
              <w:adjustRightInd/>
              <w:rPr>
                <w:rFonts w:ascii="宋体" w:hAnsi="宋体" w:cs="宋体"/>
                <w:sz w:val="18"/>
                <w:szCs w:val="18"/>
              </w:rPr>
            </w:pPr>
            <w:r>
              <w:rPr>
                <w:rFonts w:ascii="宋体" w:hAnsi="宋体" w:cs="宋体"/>
                <w:sz w:val="18"/>
                <w:szCs w:val="18"/>
              </w:rPr>
              <w:t>　</w:t>
            </w:r>
          </w:p>
        </w:tc>
        <w:tc>
          <w:tcPr>
            <w:tcW w:w="460" w:type="dxa"/>
            <w:tcBorders>
              <w:top w:val="nil"/>
              <w:left w:val="nil"/>
              <w:bottom w:val="nil"/>
              <w:right w:val="nil"/>
            </w:tcBorders>
            <w:shd w:val="clear" w:color="auto" w:fill="auto"/>
            <w:vAlign w:val="center"/>
          </w:tcPr>
          <w:p w14:paraId="4380FBDF">
            <w:pPr>
              <w:widowControl/>
              <w:autoSpaceDE/>
              <w:autoSpaceDN/>
              <w:adjustRightInd/>
              <w:rPr>
                <w:rFonts w:ascii="宋体" w:hAnsi="宋体" w:cs="宋体"/>
                <w:sz w:val="18"/>
                <w:szCs w:val="18"/>
              </w:rPr>
            </w:pPr>
            <w:r>
              <w:rPr>
                <w:rFonts w:ascii="宋体" w:hAnsi="宋体" w:cs="宋体"/>
                <w:sz w:val="18"/>
                <w:szCs w:val="18"/>
              </w:rPr>
              <w:t>　</w:t>
            </w:r>
          </w:p>
        </w:tc>
        <w:tc>
          <w:tcPr>
            <w:tcW w:w="2560" w:type="dxa"/>
            <w:tcBorders>
              <w:top w:val="nil"/>
              <w:left w:val="nil"/>
              <w:bottom w:val="nil"/>
              <w:right w:val="nil"/>
            </w:tcBorders>
            <w:shd w:val="clear" w:color="auto" w:fill="auto"/>
            <w:vAlign w:val="center"/>
          </w:tcPr>
          <w:p w14:paraId="0060DCB0">
            <w:pPr>
              <w:widowControl/>
              <w:autoSpaceDE/>
              <w:autoSpaceDN/>
              <w:adjustRightInd/>
              <w:rPr>
                <w:rFonts w:ascii="宋体" w:hAnsi="宋体" w:cs="宋体"/>
                <w:sz w:val="18"/>
                <w:szCs w:val="18"/>
              </w:rPr>
            </w:pPr>
            <w:r>
              <w:rPr>
                <w:rFonts w:ascii="宋体" w:hAnsi="宋体" w:cs="宋体"/>
                <w:sz w:val="18"/>
                <w:szCs w:val="18"/>
              </w:rPr>
              <w:t>　</w:t>
            </w:r>
          </w:p>
        </w:tc>
      </w:tr>
      <w:tr w14:paraId="3CB842A7">
        <w:tblPrEx>
          <w:tblCellMar>
            <w:top w:w="0" w:type="dxa"/>
            <w:left w:w="108" w:type="dxa"/>
            <w:bottom w:w="0" w:type="dxa"/>
            <w:right w:w="108" w:type="dxa"/>
          </w:tblCellMar>
        </w:tblPrEx>
        <w:trPr>
          <w:trHeight w:val="285" w:hRule="atLeast"/>
        </w:trPr>
        <w:tc>
          <w:tcPr>
            <w:tcW w:w="9260" w:type="dxa"/>
            <w:gridSpan w:val="11"/>
            <w:tcBorders>
              <w:top w:val="nil"/>
              <w:left w:val="nil"/>
              <w:bottom w:val="nil"/>
              <w:right w:val="nil"/>
            </w:tcBorders>
            <w:shd w:val="clear" w:color="auto" w:fill="auto"/>
            <w:vAlign w:val="center"/>
          </w:tcPr>
          <w:p w14:paraId="070997A5">
            <w:pPr>
              <w:widowControl/>
              <w:autoSpaceDE/>
              <w:autoSpaceDN/>
              <w:adjustRightInd/>
              <w:rPr>
                <w:rFonts w:ascii="宋体" w:hAnsi="宋体" w:cs="宋体"/>
                <w:sz w:val="18"/>
                <w:szCs w:val="18"/>
              </w:rPr>
            </w:pPr>
            <w:r>
              <w:rPr>
                <w:rFonts w:ascii="宋体" w:hAnsi="宋体" w:cs="宋体"/>
                <w:sz w:val="18"/>
                <w:szCs w:val="18"/>
              </w:rPr>
              <w:t>1、报表说明</w:t>
            </w:r>
            <w:r>
              <w:rPr>
                <w:rFonts w:hint="eastAsia" w:ascii="宋体" w:hAnsi="宋体" w:cs="宋体"/>
                <w:sz w:val="18"/>
                <w:szCs w:val="18"/>
                <w:lang w:eastAsia="zh-CN"/>
              </w:rPr>
              <w:t>：</w:t>
            </w:r>
            <w:r>
              <w:rPr>
                <w:rFonts w:ascii="宋体" w:hAnsi="宋体" w:cs="宋体"/>
                <w:sz w:val="18"/>
                <w:szCs w:val="18"/>
              </w:rPr>
              <w:t>该报表查询项目信息、绩效目标信息、预算及执行情况，用于预算单位查询导出开展项目自评。</w:t>
            </w:r>
          </w:p>
        </w:tc>
      </w:tr>
      <w:tr w14:paraId="1F3E52E8">
        <w:tblPrEx>
          <w:tblCellMar>
            <w:top w:w="0" w:type="dxa"/>
            <w:left w:w="108" w:type="dxa"/>
            <w:bottom w:w="0" w:type="dxa"/>
            <w:right w:w="108" w:type="dxa"/>
          </w:tblCellMar>
        </w:tblPrEx>
        <w:trPr>
          <w:trHeight w:val="285" w:hRule="atLeast"/>
        </w:trPr>
        <w:tc>
          <w:tcPr>
            <w:tcW w:w="9260" w:type="dxa"/>
            <w:gridSpan w:val="11"/>
            <w:tcBorders>
              <w:top w:val="nil"/>
              <w:left w:val="nil"/>
              <w:bottom w:val="nil"/>
              <w:right w:val="nil"/>
            </w:tcBorders>
            <w:shd w:val="clear" w:color="auto" w:fill="auto"/>
            <w:vAlign w:val="center"/>
          </w:tcPr>
          <w:p w14:paraId="4C02CBC6">
            <w:pPr>
              <w:widowControl/>
              <w:autoSpaceDE/>
              <w:autoSpaceDN/>
              <w:adjustRightInd/>
              <w:rPr>
                <w:rFonts w:ascii="宋体" w:hAnsi="宋体" w:cs="宋体"/>
                <w:sz w:val="18"/>
                <w:szCs w:val="18"/>
              </w:rPr>
            </w:pPr>
            <w:r>
              <w:rPr>
                <w:rFonts w:ascii="宋体" w:hAnsi="宋体" w:cs="宋体"/>
                <w:sz w:val="18"/>
                <w:szCs w:val="18"/>
              </w:rPr>
              <w:t>2、取数口径：部门项目绩效目标表信息，包括年初预算、追加预算、结转预算和调整预算的绩效目标（以项目的最终绩效目标为准）。</w:t>
            </w:r>
          </w:p>
        </w:tc>
      </w:tr>
      <w:tr w14:paraId="3460239A">
        <w:tblPrEx>
          <w:tblCellMar>
            <w:top w:w="0" w:type="dxa"/>
            <w:left w:w="108" w:type="dxa"/>
            <w:bottom w:w="0" w:type="dxa"/>
            <w:right w:w="108" w:type="dxa"/>
          </w:tblCellMar>
        </w:tblPrEx>
        <w:trPr>
          <w:trHeight w:val="285" w:hRule="atLeast"/>
        </w:trPr>
        <w:tc>
          <w:tcPr>
            <w:tcW w:w="9260" w:type="dxa"/>
            <w:gridSpan w:val="11"/>
            <w:tcBorders>
              <w:top w:val="nil"/>
              <w:left w:val="nil"/>
              <w:bottom w:val="nil"/>
              <w:right w:val="nil"/>
            </w:tcBorders>
            <w:shd w:val="clear" w:color="auto" w:fill="auto"/>
            <w:vAlign w:val="center"/>
          </w:tcPr>
          <w:p w14:paraId="4049C8B4">
            <w:pPr>
              <w:widowControl/>
              <w:autoSpaceDE/>
              <w:autoSpaceDN/>
              <w:adjustRightInd/>
              <w:rPr>
                <w:rFonts w:ascii="宋体" w:hAnsi="宋体" w:cs="宋体"/>
                <w:sz w:val="18"/>
                <w:szCs w:val="18"/>
              </w:rPr>
            </w:pPr>
            <w:r>
              <w:rPr>
                <w:rFonts w:ascii="宋体" w:hAnsi="宋体" w:cs="宋体"/>
                <w:sz w:val="18"/>
                <w:szCs w:val="18"/>
              </w:rPr>
              <w:t>适用地区：全省范围</w:t>
            </w:r>
          </w:p>
        </w:tc>
      </w:tr>
      <w:tr w14:paraId="17B23FC1">
        <w:tblPrEx>
          <w:tblCellMar>
            <w:top w:w="0" w:type="dxa"/>
            <w:left w:w="108" w:type="dxa"/>
            <w:bottom w:w="0" w:type="dxa"/>
            <w:right w:w="108" w:type="dxa"/>
          </w:tblCellMar>
        </w:tblPrEx>
        <w:trPr>
          <w:trHeight w:val="285" w:hRule="atLeast"/>
        </w:trPr>
        <w:tc>
          <w:tcPr>
            <w:tcW w:w="9260" w:type="dxa"/>
            <w:gridSpan w:val="11"/>
            <w:tcBorders>
              <w:top w:val="nil"/>
              <w:left w:val="nil"/>
              <w:bottom w:val="nil"/>
              <w:right w:val="nil"/>
            </w:tcBorders>
            <w:shd w:val="clear" w:color="auto" w:fill="auto"/>
            <w:vAlign w:val="center"/>
          </w:tcPr>
          <w:p w14:paraId="431FC368">
            <w:pPr>
              <w:widowControl/>
              <w:autoSpaceDE/>
              <w:autoSpaceDN/>
              <w:adjustRightInd/>
              <w:rPr>
                <w:rFonts w:ascii="宋体" w:hAnsi="宋体" w:cs="宋体"/>
                <w:sz w:val="18"/>
                <w:szCs w:val="18"/>
              </w:rPr>
            </w:pPr>
            <w:r>
              <w:rPr>
                <w:rFonts w:ascii="宋体" w:hAnsi="宋体" w:cs="宋体"/>
                <w:sz w:val="18"/>
                <w:szCs w:val="18"/>
              </w:rPr>
              <w:t>适用用户：部门用户、单位用户</w:t>
            </w:r>
          </w:p>
        </w:tc>
      </w:tr>
    </w:tbl>
    <w:p w14:paraId="136BA47A">
      <w:pPr>
        <w:pStyle w:val="2"/>
        <w:rPr>
          <w:rFonts w:ascii="黑体" w:hAnsi="黑体"/>
          <w:sz w:val="44"/>
          <w:szCs w:val="24"/>
        </w:rPr>
      </w:pPr>
    </w:p>
    <w:p w14:paraId="3E43EC3F">
      <w:pPr>
        <w:rPr>
          <w:rFonts w:hint="default"/>
        </w:rPr>
      </w:pPr>
    </w:p>
    <w:p w14:paraId="71AD6F89">
      <w:pPr>
        <w:pStyle w:val="2"/>
      </w:pPr>
    </w:p>
    <w:p w14:paraId="50B9005C">
      <w:pPr>
        <w:rPr>
          <w:rFonts w:hint="default"/>
        </w:rPr>
      </w:pPr>
    </w:p>
    <w:p w14:paraId="0CFE4876">
      <w:pPr>
        <w:pStyle w:val="2"/>
      </w:pPr>
    </w:p>
    <w:p w14:paraId="4E4E133D">
      <w:pPr>
        <w:rPr>
          <w:rFonts w:hint="default"/>
        </w:rPr>
      </w:pPr>
    </w:p>
    <w:p w14:paraId="63EADBAA">
      <w:pPr>
        <w:pStyle w:val="2"/>
      </w:pPr>
    </w:p>
    <w:p w14:paraId="7053F7BD">
      <w:pPr>
        <w:rPr>
          <w:rFonts w:hint="default"/>
        </w:rPr>
      </w:pPr>
    </w:p>
    <w:p w14:paraId="08A985FA">
      <w:pPr>
        <w:pStyle w:val="2"/>
      </w:pPr>
    </w:p>
    <w:p w14:paraId="251FD9B1">
      <w:pPr>
        <w:pStyle w:val="2"/>
      </w:pPr>
    </w:p>
    <w:p w14:paraId="559AFCB4">
      <w:pPr>
        <w:rPr>
          <w:rFonts w:hint="default"/>
        </w:rPr>
      </w:pPr>
    </w:p>
    <w:p w14:paraId="72E60B53">
      <w:pPr>
        <w:rPr>
          <w:rFonts w:hint="default" w:ascii="黑体" w:hAnsi="黑体" w:eastAsia="黑体"/>
          <w:kern w:val="2"/>
          <w:sz w:val="44"/>
        </w:rPr>
      </w:pPr>
    </w:p>
    <w:p w14:paraId="1D0AE0A2">
      <w:pPr>
        <w:numPr>
          <w:ilvl w:val="0"/>
          <w:numId w:val="5"/>
        </w:numPr>
        <w:spacing w:line="600" w:lineRule="exact"/>
        <w:ind w:firstLine="3080" w:firstLineChars="700"/>
        <w:jc w:val="both"/>
        <w:rPr>
          <w:rFonts w:hint="default" w:ascii="黑体" w:hAnsi="黑体" w:eastAsia="黑体"/>
          <w:kern w:val="44"/>
          <w:sz w:val="44"/>
        </w:rPr>
      </w:pPr>
      <w:r>
        <w:rPr>
          <w:rFonts w:ascii="黑体" w:hAnsi="黑体" w:eastAsia="黑体"/>
          <w:kern w:val="44"/>
          <w:sz w:val="44"/>
        </w:rPr>
        <w:t>附表</w:t>
      </w:r>
    </w:p>
    <w:p w14:paraId="0D8A983B">
      <w:pPr>
        <w:pStyle w:val="4"/>
        <w:spacing w:line="580" w:lineRule="exact"/>
        <w:ind w:firstLine="640" w:firstLineChars="200"/>
        <w:rPr>
          <w:rFonts w:hint="default" w:ascii="仿宋_GB2312" w:hAnsi="仿宋_GB2312" w:eastAsia="仿宋_GB2312"/>
          <w:color w:val="000000"/>
          <w:sz w:val="32"/>
        </w:rPr>
      </w:pPr>
      <w:bookmarkStart w:id="7" w:name="_Toc15396619"/>
      <w:r>
        <w:rPr>
          <w:rFonts w:ascii="仿宋_GB2312" w:hAnsi="仿宋_GB2312" w:eastAsia="仿宋_GB2312"/>
          <w:color w:val="000000"/>
          <w:sz w:val="32"/>
        </w:rPr>
        <w:t>一、收入支出决算总表</w:t>
      </w:r>
      <w:bookmarkEnd w:id="7"/>
    </w:p>
    <w:p w14:paraId="235C3F0E">
      <w:pPr>
        <w:pStyle w:val="4"/>
        <w:spacing w:line="580" w:lineRule="exact"/>
        <w:ind w:firstLine="640" w:firstLineChars="200"/>
        <w:rPr>
          <w:rFonts w:hint="default" w:ascii="仿宋_GB2312" w:hAnsi="仿宋_GB2312" w:eastAsia="仿宋_GB2312"/>
          <w:color w:val="000000"/>
          <w:sz w:val="32"/>
        </w:rPr>
      </w:pPr>
      <w:bookmarkStart w:id="8" w:name="_Toc15396620"/>
      <w:r>
        <w:rPr>
          <w:rFonts w:ascii="仿宋_GB2312" w:hAnsi="仿宋_GB2312" w:eastAsia="仿宋_GB2312"/>
          <w:color w:val="000000"/>
          <w:sz w:val="32"/>
        </w:rPr>
        <w:t>二、收入决算表</w:t>
      </w:r>
      <w:bookmarkEnd w:id="8"/>
    </w:p>
    <w:p w14:paraId="1C758A20">
      <w:pPr>
        <w:pStyle w:val="4"/>
        <w:spacing w:line="580" w:lineRule="exact"/>
        <w:ind w:firstLine="640" w:firstLineChars="200"/>
        <w:rPr>
          <w:rFonts w:hint="default" w:ascii="仿宋_GB2312" w:hAnsi="仿宋_GB2312" w:eastAsia="仿宋_GB2312"/>
          <w:color w:val="000000"/>
          <w:sz w:val="32"/>
        </w:rPr>
      </w:pPr>
      <w:bookmarkStart w:id="9" w:name="_Toc15396621"/>
      <w:r>
        <w:rPr>
          <w:rFonts w:ascii="仿宋_GB2312" w:hAnsi="仿宋_GB2312" w:eastAsia="仿宋_GB2312"/>
          <w:color w:val="000000"/>
          <w:sz w:val="32"/>
        </w:rPr>
        <w:t>三、支出决算表</w:t>
      </w:r>
      <w:bookmarkEnd w:id="9"/>
    </w:p>
    <w:p w14:paraId="36BC238C">
      <w:pPr>
        <w:pStyle w:val="4"/>
        <w:spacing w:line="580" w:lineRule="exact"/>
        <w:ind w:firstLine="640" w:firstLineChars="200"/>
        <w:rPr>
          <w:rFonts w:hint="default" w:ascii="仿宋_GB2312" w:hAnsi="仿宋_GB2312" w:eastAsia="仿宋_GB2312"/>
          <w:color w:val="000000"/>
          <w:sz w:val="32"/>
        </w:rPr>
      </w:pPr>
      <w:bookmarkStart w:id="10" w:name="_Toc15396622"/>
      <w:r>
        <w:rPr>
          <w:rFonts w:ascii="仿宋_GB2312" w:hAnsi="仿宋_GB2312" w:eastAsia="仿宋_GB2312"/>
          <w:color w:val="000000"/>
          <w:sz w:val="32"/>
        </w:rPr>
        <w:t>四、财政拨款收入支出决算总表</w:t>
      </w:r>
      <w:bookmarkEnd w:id="10"/>
    </w:p>
    <w:p w14:paraId="12DE3F0E">
      <w:pPr>
        <w:pStyle w:val="4"/>
        <w:spacing w:line="580" w:lineRule="exact"/>
        <w:ind w:firstLine="640" w:firstLineChars="200"/>
        <w:rPr>
          <w:rFonts w:hint="default" w:ascii="仿宋_GB2312" w:hAnsi="仿宋_GB2312" w:eastAsia="仿宋_GB2312"/>
          <w:color w:val="000000"/>
          <w:sz w:val="32"/>
        </w:rPr>
      </w:pPr>
      <w:bookmarkStart w:id="11" w:name="_Toc15396623"/>
      <w:r>
        <w:rPr>
          <w:rFonts w:ascii="仿宋_GB2312" w:hAnsi="仿宋_GB2312" w:eastAsia="仿宋_GB2312"/>
          <w:color w:val="000000"/>
          <w:sz w:val="32"/>
        </w:rPr>
        <w:t>五、财政拨款支出决算明细表</w:t>
      </w:r>
      <w:bookmarkEnd w:id="11"/>
      <w:bookmarkStart w:id="12" w:name="_Toc15396624"/>
    </w:p>
    <w:p w14:paraId="0A118660">
      <w:pPr>
        <w:pStyle w:val="4"/>
        <w:spacing w:line="580" w:lineRule="exact"/>
        <w:ind w:firstLine="640" w:firstLineChars="200"/>
        <w:rPr>
          <w:rFonts w:hint="default" w:ascii="仿宋_GB2312" w:hAnsi="仿宋_GB2312" w:eastAsia="仿宋_GB2312"/>
          <w:color w:val="000000"/>
          <w:sz w:val="32"/>
        </w:rPr>
      </w:pPr>
      <w:r>
        <w:rPr>
          <w:rFonts w:ascii="仿宋_GB2312" w:hAnsi="仿宋_GB2312" w:eastAsia="仿宋_GB2312"/>
          <w:color w:val="000000"/>
          <w:sz w:val="32"/>
        </w:rPr>
        <w:t>六、一般公共预算财政拨款支出决算表</w:t>
      </w:r>
      <w:bookmarkEnd w:id="12"/>
    </w:p>
    <w:p w14:paraId="641CA14F">
      <w:pPr>
        <w:pStyle w:val="4"/>
        <w:spacing w:line="580" w:lineRule="exact"/>
        <w:ind w:firstLine="640" w:firstLineChars="200"/>
        <w:rPr>
          <w:rFonts w:hint="default" w:ascii="仿宋_GB2312" w:hAnsi="仿宋_GB2312" w:eastAsia="仿宋_GB2312"/>
          <w:color w:val="000000"/>
          <w:sz w:val="32"/>
        </w:rPr>
      </w:pPr>
      <w:bookmarkStart w:id="13" w:name="_Toc15396625"/>
      <w:r>
        <w:rPr>
          <w:rFonts w:ascii="仿宋_GB2312" w:hAnsi="仿宋_GB2312" w:eastAsia="仿宋_GB2312"/>
          <w:color w:val="000000"/>
          <w:sz w:val="32"/>
        </w:rPr>
        <w:t>七、一般公共预算财政拨款支出决算明细表</w:t>
      </w:r>
      <w:bookmarkEnd w:id="13"/>
    </w:p>
    <w:p w14:paraId="22F1CEE3">
      <w:pPr>
        <w:pStyle w:val="4"/>
        <w:spacing w:line="580" w:lineRule="exact"/>
        <w:ind w:firstLine="640" w:firstLineChars="200"/>
        <w:rPr>
          <w:rFonts w:hint="default" w:ascii="仿宋_GB2312" w:hAnsi="仿宋_GB2312" w:eastAsia="仿宋_GB2312"/>
          <w:color w:val="000000"/>
          <w:sz w:val="32"/>
        </w:rPr>
      </w:pPr>
      <w:bookmarkStart w:id="14" w:name="_Toc15396626"/>
      <w:r>
        <w:rPr>
          <w:rFonts w:ascii="仿宋_GB2312" w:hAnsi="仿宋_GB2312" w:eastAsia="仿宋_GB2312"/>
          <w:color w:val="000000"/>
          <w:sz w:val="32"/>
        </w:rPr>
        <w:t>八、一般公共预算财政拨款基本支出决算表</w:t>
      </w:r>
      <w:bookmarkEnd w:id="14"/>
    </w:p>
    <w:p w14:paraId="241006CD">
      <w:pPr>
        <w:pStyle w:val="4"/>
        <w:spacing w:line="580" w:lineRule="exact"/>
        <w:ind w:firstLine="640" w:firstLineChars="200"/>
        <w:rPr>
          <w:rFonts w:hint="default" w:ascii="仿宋_GB2312" w:hAnsi="仿宋_GB2312" w:eastAsia="仿宋_GB2312"/>
          <w:color w:val="000000"/>
          <w:sz w:val="32"/>
        </w:rPr>
      </w:pPr>
      <w:bookmarkStart w:id="15" w:name="_Toc15396627"/>
      <w:r>
        <w:rPr>
          <w:rFonts w:ascii="仿宋_GB2312" w:hAnsi="仿宋_GB2312" w:eastAsia="仿宋_GB2312"/>
          <w:color w:val="000000"/>
          <w:sz w:val="32"/>
        </w:rPr>
        <w:t>九、一般公共预算财政拨款项目支出决算表</w:t>
      </w:r>
      <w:bookmarkEnd w:id="15"/>
    </w:p>
    <w:p w14:paraId="630CA3CB">
      <w:pPr>
        <w:pStyle w:val="4"/>
        <w:spacing w:line="580" w:lineRule="exact"/>
        <w:ind w:firstLine="640" w:firstLineChars="200"/>
        <w:rPr>
          <w:rFonts w:hint="default" w:ascii="仿宋_GB2312" w:hAnsi="仿宋_GB2312" w:eastAsia="仿宋_GB2312"/>
          <w:color w:val="000000"/>
          <w:sz w:val="32"/>
        </w:rPr>
      </w:pPr>
      <w:bookmarkStart w:id="16" w:name="_Toc15396628"/>
      <w:r>
        <w:rPr>
          <w:rFonts w:ascii="仿宋_GB2312" w:hAnsi="仿宋_GB2312" w:eastAsia="仿宋_GB2312"/>
          <w:color w:val="000000"/>
          <w:sz w:val="32"/>
        </w:rPr>
        <w:t>十、一般公共预算财政拨款“三公”经费支出决算表</w:t>
      </w:r>
      <w:bookmarkEnd w:id="16"/>
    </w:p>
    <w:p w14:paraId="3C0F80D1">
      <w:pPr>
        <w:pStyle w:val="4"/>
        <w:spacing w:line="580" w:lineRule="exact"/>
        <w:ind w:firstLine="640" w:firstLineChars="200"/>
        <w:rPr>
          <w:rFonts w:hint="default" w:ascii="仿宋_GB2312" w:hAnsi="仿宋_GB2312" w:eastAsia="仿宋_GB2312"/>
          <w:color w:val="000000"/>
          <w:sz w:val="32"/>
        </w:rPr>
      </w:pPr>
      <w:bookmarkStart w:id="17" w:name="_Toc15396629"/>
      <w:r>
        <w:rPr>
          <w:rFonts w:ascii="仿宋_GB2312" w:hAnsi="仿宋_GB2312" w:eastAsia="仿宋_GB2312"/>
          <w:color w:val="000000"/>
          <w:sz w:val="32"/>
        </w:rPr>
        <w:t>十一、政府性基金预算财政拨款收入支出决算表</w:t>
      </w:r>
      <w:bookmarkEnd w:id="17"/>
    </w:p>
    <w:p w14:paraId="18D04CF3">
      <w:pPr>
        <w:pStyle w:val="4"/>
        <w:spacing w:line="580" w:lineRule="exact"/>
        <w:ind w:firstLine="640" w:firstLineChars="200"/>
        <w:rPr>
          <w:rFonts w:hint="default" w:ascii="仿宋_GB2312" w:hAnsi="仿宋_GB2312" w:eastAsia="仿宋_GB2312"/>
          <w:color w:val="000000"/>
          <w:sz w:val="32"/>
        </w:rPr>
      </w:pPr>
      <w:bookmarkStart w:id="18" w:name="_Toc15396630"/>
      <w:r>
        <w:rPr>
          <w:rFonts w:ascii="仿宋_GB2312" w:hAnsi="仿宋_GB2312" w:eastAsia="仿宋_GB2312"/>
          <w:color w:val="000000"/>
          <w:sz w:val="32"/>
        </w:rPr>
        <w:t>十二、政府性基金预算财政拨款“三公”经费支出决算表</w:t>
      </w:r>
      <w:bookmarkEnd w:id="18"/>
    </w:p>
    <w:p w14:paraId="07E026D6">
      <w:pPr>
        <w:pStyle w:val="4"/>
        <w:spacing w:line="580" w:lineRule="exact"/>
        <w:ind w:firstLine="640" w:firstLineChars="200"/>
        <w:rPr>
          <w:rFonts w:hint="default" w:ascii="仿宋_GB2312" w:hAnsi="仿宋_GB2312" w:eastAsia="仿宋_GB2312"/>
          <w:color w:val="000000"/>
          <w:sz w:val="32"/>
        </w:rPr>
      </w:pPr>
      <w:bookmarkStart w:id="19" w:name="_Toc15396631"/>
      <w:r>
        <w:rPr>
          <w:rFonts w:ascii="仿宋_GB2312" w:hAnsi="仿宋_GB2312" w:eastAsia="仿宋_GB2312"/>
          <w:color w:val="000000"/>
          <w:sz w:val="32"/>
        </w:rPr>
        <w:t>十三、</w:t>
      </w:r>
      <w:bookmarkEnd w:id="19"/>
      <w:r>
        <w:rPr>
          <w:rFonts w:ascii="仿宋_GB2312" w:hAnsi="仿宋_GB2312" w:eastAsia="仿宋_GB2312"/>
          <w:color w:val="000000"/>
          <w:sz w:val="32"/>
        </w:rPr>
        <w:t>国有资本经营预算财政拨款收入支出决算表</w:t>
      </w:r>
    </w:p>
    <w:p w14:paraId="73CE0AAC">
      <w:pPr>
        <w:pStyle w:val="4"/>
        <w:spacing w:line="580" w:lineRule="exact"/>
        <w:ind w:firstLine="640" w:firstLineChars="200"/>
        <w:rPr>
          <w:rFonts w:hint="default" w:ascii="仿宋_GB2312" w:hAnsi="仿宋_GB2312" w:eastAsia="仿宋_GB2312"/>
          <w:color w:val="000000"/>
          <w:sz w:val="32"/>
        </w:rPr>
      </w:pPr>
      <w:r>
        <w:rPr>
          <w:rFonts w:ascii="仿宋_GB2312" w:hAnsi="仿宋_GB2312" w:eastAsia="仿宋_GB2312"/>
          <w:color w:val="000000"/>
          <w:sz w:val="32"/>
        </w:rPr>
        <w:t>十四、国有资本经营预算财政拨款支出决算表</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6621F">
    <w:pPr>
      <w:pStyle w:val="6"/>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ECDFA">
                          <w:pPr>
                            <w:pStyle w:val="6"/>
                            <w:rPr>
                              <w:rFonts w:hint="default"/>
                            </w:rPr>
                          </w:pPr>
                          <w:r>
                            <w:fldChar w:fldCharType="begin"/>
                          </w:r>
                          <w:r>
                            <w:instrText xml:space="preserve"> PAGE  \* MERGEFORMAT </w:instrText>
                          </w:r>
                          <w:r>
                            <w:fldChar w:fldCharType="separate"/>
                          </w:r>
                          <w:r>
                            <w:rPr>
                              <w:rFonts w:hint="default"/>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BECDFA">
                    <w:pPr>
                      <w:pStyle w:val="6"/>
                      <w:rPr>
                        <w:rFonts w:hint="default"/>
                      </w:rPr>
                    </w:pPr>
                    <w:r>
                      <w:fldChar w:fldCharType="begin"/>
                    </w:r>
                    <w:r>
                      <w:instrText xml:space="preserve"> PAGE  \* MERGEFORMAT </w:instrText>
                    </w:r>
                    <w:r>
                      <w:fldChar w:fldCharType="separate"/>
                    </w:r>
                    <w:r>
                      <w:rPr>
                        <w:rFonts w:hint="default"/>
                      </w:rP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1E39D"/>
    <w:multiLevelType w:val="multilevel"/>
    <w:tmpl w:val="9A81E39D"/>
    <w:lvl w:ilvl="0" w:tentative="0">
      <w:start w:val="10"/>
      <w:numFmt w:val="chineseCounting"/>
      <w:suff w:val="nothing"/>
      <w:lvlText w:val="%1、"/>
      <w:lvlJc w:val="left"/>
      <w:rPr>
        <w:rFonts w:hint="default" w:cs="Times New Roman"/>
        <w:u w:val="none"/>
      </w:rPr>
    </w:lvl>
    <w:lvl w:ilvl="1" w:tentative="0">
      <w:start w:val="1"/>
      <w:numFmt w:val="decimal"/>
      <w:lvlText w:val=""/>
      <w:lvlJc w:val="left"/>
      <w:rPr>
        <w:rFonts w:hint="default" w:cs="Times New Roman"/>
        <w:u w:val="none"/>
      </w:rPr>
    </w:lvl>
    <w:lvl w:ilvl="2" w:tentative="0">
      <w:start w:val="1"/>
      <w:numFmt w:val="decimal"/>
      <w:lvlText w:val=""/>
      <w:lvlJc w:val="left"/>
      <w:rPr>
        <w:rFonts w:hint="default" w:cs="Times New Roman"/>
        <w:u w:val="none"/>
      </w:rPr>
    </w:lvl>
    <w:lvl w:ilvl="3" w:tentative="0">
      <w:start w:val="1"/>
      <w:numFmt w:val="decimal"/>
      <w:lvlText w:val=""/>
      <w:lvlJc w:val="left"/>
      <w:rPr>
        <w:rFonts w:hint="default" w:cs="Times New Roman"/>
        <w:u w:val="none"/>
      </w:rPr>
    </w:lvl>
    <w:lvl w:ilvl="4" w:tentative="0">
      <w:start w:val="1"/>
      <w:numFmt w:val="decimal"/>
      <w:lvlText w:val=""/>
      <w:lvlJc w:val="left"/>
      <w:rPr>
        <w:rFonts w:hint="default" w:cs="Times New Roman"/>
        <w:u w:val="none"/>
      </w:rPr>
    </w:lvl>
    <w:lvl w:ilvl="5" w:tentative="0">
      <w:start w:val="1"/>
      <w:numFmt w:val="decimal"/>
      <w:lvlText w:val=""/>
      <w:lvlJc w:val="left"/>
      <w:rPr>
        <w:rFonts w:hint="default" w:cs="Times New Roman"/>
        <w:u w:val="none"/>
      </w:rPr>
    </w:lvl>
    <w:lvl w:ilvl="6" w:tentative="0">
      <w:start w:val="1"/>
      <w:numFmt w:val="decimal"/>
      <w:lvlText w:val=""/>
      <w:lvlJc w:val="left"/>
      <w:rPr>
        <w:rFonts w:hint="default" w:cs="Times New Roman"/>
        <w:u w:val="none"/>
      </w:rPr>
    </w:lvl>
    <w:lvl w:ilvl="7" w:tentative="0">
      <w:start w:val="1"/>
      <w:numFmt w:val="decimal"/>
      <w:lvlText w:val=""/>
      <w:lvlJc w:val="left"/>
      <w:rPr>
        <w:rFonts w:hint="default" w:cs="Times New Roman"/>
        <w:u w:val="none"/>
      </w:rPr>
    </w:lvl>
    <w:lvl w:ilvl="8" w:tentative="0">
      <w:start w:val="1"/>
      <w:numFmt w:val="decimal"/>
      <w:lvlText w:val=""/>
      <w:lvlJc w:val="left"/>
      <w:rPr>
        <w:rFonts w:hint="default" w:cs="Times New Roman"/>
        <w:u w:val="none"/>
      </w:rPr>
    </w:lvl>
  </w:abstractNum>
  <w:abstractNum w:abstractNumId="1">
    <w:nsid w:val="D19DCE4D"/>
    <w:multiLevelType w:val="multilevel"/>
    <w:tmpl w:val="D19DCE4D"/>
    <w:lvl w:ilvl="0" w:tentative="0">
      <w:start w:val="5"/>
      <w:numFmt w:val="decimal"/>
      <w:suff w:val="nothing"/>
      <w:lvlText w:val="%1、"/>
      <w:lvlJc w:val="left"/>
      <w:rPr>
        <w:rFonts w:hint="default" w:cs="Times New Roman"/>
        <w:u w:val="none"/>
      </w:rPr>
    </w:lvl>
    <w:lvl w:ilvl="1" w:tentative="0">
      <w:start w:val="1"/>
      <w:numFmt w:val="decimal"/>
      <w:lvlText w:val=""/>
      <w:lvlJc w:val="left"/>
      <w:rPr>
        <w:rFonts w:hint="default" w:cs="Times New Roman"/>
        <w:u w:val="none"/>
      </w:rPr>
    </w:lvl>
    <w:lvl w:ilvl="2" w:tentative="0">
      <w:start w:val="1"/>
      <w:numFmt w:val="decimal"/>
      <w:lvlText w:val=""/>
      <w:lvlJc w:val="left"/>
      <w:rPr>
        <w:rFonts w:hint="default" w:cs="Times New Roman"/>
        <w:u w:val="none"/>
      </w:rPr>
    </w:lvl>
    <w:lvl w:ilvl="3" w:tentative="0">
      <w:start w:val="1"/>
      <w:numFmt w:val="decimal"/>
      <w:lvlText w:val=""/>
      <w:lvlJc w:val="left"/>
      <w:rPr>
        <w:rFonts w:hint="default" w:cs="Times New Roman"/>
        <w:u w:val="none"/>
      </w:rPr>
    </w:lvl>
    <w:lvl w:ilvl="4" w:tentative="0">
      <w:start w:val="1"/>
      <w:numFmt w:val="decimal"/>
      <w:lvlText w:val=""/>
      <w:lvlJc w:val="left"/>
      <w:rPr>
        <w:rFonts w:hint="default" w:cs="Times New Roman"/>
        <w:u w:val="none"/>
      </w:rPr>
    </w:lvl>
    <w:lvl w:ilvl="5" w:tentative="0">
      <w:start w:val="1"/>
      <w:numFmt w:val="decimal"/>
      <w:lvlText w:val=""/>
      <w:lvlJc w:val="left"/>
      <w:rPr>
        <w:rFonts w:hint="default" w:cs="Times New Roman"/>
        <w:u w:val="none"/>
      </w:rPr>
    </w:lvl>
    <w:lvl w:ilvl="6" w:tentative="0">
      <w:start w:val="1"/>
      <w:numFmt w:val="decimal"/>
      <w:lvlText w:val=""/>
      <w:lvlJc w:val="left"/>
      <w:rPr>
        <w:rFonts w:hint="default" w:cs="Times New Roman"/>
        <w:u w:val="none"/>
      </w:rPr>
    </w:lvl>
    <w:lvl w:ilvl="7" w:tentative="0">
      <w:start w:val="1"/>
      <w:numFmt w:val="decimal"/>
      <w:lvlText w:val=""/>
      <w:lvlJc w:val="left"/>
      <w:rPr>
        <w:rFonts w:hint="default" w:cs="Times New Roman"/>
        <w:u w:val="none"/>
      </w:rPr>
    </w:lvl>
    <w:lvl w:ilvl="8" w:tentative="0">
      <w:start w:val="1"/>
      <w:numFmt w:val="decimal"/>
      <w:lvlText w:val=""/>
      <w:lvlJc w:val="left"/>
      <w:rPr>
        <w:rFonts w:hint="default" w:cs="Times New Roman"/>
        <w:u w:val="none"/>
      </w:rPr>
    </w:lvl>
  </w:abstractNum>
  <w:abstractNum w:abstractNumId="2">
    <w:nsid w:val="F9471DA4"/>
    <w:multiLevelType w:val="multilevel"/>
    <w:tmpl w:val="F9471DA4"/>
    <w:lvl w:ilvl="0" w:tentative="0">
      <w:start w:val="5"/>
      <w:numFmt w:val="chineseCounting"/>
      <w:suff w:val="space"/>
      <w:lvlText w:val="第%1部分"/>
      <w:lvlJc w:val="left"/>
      <w:rPr>
        <w:rFonts w:hint="default" w:cs="Times New Roman"/>
        <w:u w:val="none"/>
      </w:rPr>
    </w:lvl>
    <w:lvl w:ilvl="1" w:tentative="0">
      <w:start w:val="1"/>
      <w:numFmt w:val="decimal"/>
      <w:lvlText w:val="第"/>
      <w:lvlJc w:val="left"/>
      <w:rPr>
        <w:rFonts w:hint="default" w:cs="Times New Roman"/>
        <w:u w:val="none"/>
      </w:rPr>
    </w:lvl>
    <w:lvl w:ilvl="2" w:tentative="0">
      <w:start w:val="1"/>
      <w:numFmt w:val="decimal"/>
      <w:lvlText w:val="第"/>
      <w:lvlJc w:val="left"/>
      <w:rPr>
        <w:rFonts w:hint="default" w:cs="Times New Roman"/>
        <w:u w:val="none"/>
      </w:rPr>
    </w:lvl>
    <w:lvl w:ilvl="3" w:tentative="0">
      <w:start w:val="1"/>
      <w:numFmt w:val="decimal"/>
      <w:lvlText w:val="第"/>
      <w:lvlJc w:val="left"/>
      <w:rPr>
        <w:rFonts w:hint="default" w:cs="Times New Roman"/>
        <w:u w:val="none"/>
      </w:rPr>
    </w:lvl>
    <w:lvl w:ilvl="4" w:tentative="0">
      <w:start w:val="1"/>
      <w:numFmt w:val="decimal"/>
      <w:lvlText w:val="第"/>
      <w:lvlJc w:val="left"/>
      <w:rPr>
        <w:rFonts w:hint="default" w:cs="Times New Roman"/>
        <w:u w:val="none"/>
      </w:rPr>
    </w:lvl>
    <w:lvl w:ilvl="5" w:tentative="0">
      <w:start w:val="1"/>
      <w:numFmt w:val="decimal"/>
      <w:lvlText w:val="第"/>
      <w:lvlJc w:val="left"/>
      <w:rPr>
        <w:rFonts w:hint="default" w:cs="Times New Roman"/>
        <w:u w:val="none"/>
      </w:rPr>
    </w:lvl>
    <w:lvl w:ilvl="6" w:tentative="0">
      <w:start w:val="1"/>
      <w:numFmt w:val="decimal"/>
      <w:lvlText w:val="第"/>
      <w:lvlJc w:val="left"/>
      <w:rPr>
        <w:rFonts w:hint="default" w:cs="Times New Roman"/>
        <w:u w:val="none"/>
      </w:rPr>
    </w:lvl>
    <w:lvl w:ilvl="7" w:tentative="0">
      <w:start w:val="1"/>
      <w:numFmt w:val="decimal"/>
      <w:lvlText w:val="第"/>
      <w:lvlJc w:val="left"/>
      <w:rPr>
        <w:rFonts w:hint="default" w:cs="Times New Roman"/>
        <w:u w:val="none"/>
      </w:rPr>
    </w:lvl>
    <w:lvl w:ilvl="8" w:tentative="0">
      <w:start w:val="1"/>
      <w:numFmt w:val="decimal"/>
      <w:lvlText w:val="第"/>
      <w:lvlJc w:val="left"/>
      <w:rPr>
        <w:rFonts w:hint="default" w:cs="Times New Roman"/>
        <w:u w:val="none"/>
      </w:rPr>
    </w:lvl>
  </w:abstractNum>
  <w:abstractNum w:abstractNumId="3">
    <w:nsid w:val="38204719"/>
    <w:multiLevelType w:val="multilevel"/>
    <w:tmpl w:val="38204719"/>
    <w:lvl w:ilvl="0" w:tentative="0">
      <w:start w:val="2"/>
      <w:numFmt w:val="chineseCounting"/>
      <w:suff w:val="nothing"/>
      <w:lvlText w:val="%1、"/>
      <w:lvlJc w:val="left"/>
      <w:rPr>
        <w:rFonts w:hint="default" w:cs="Times New Roman"/>
        <w:u w:val="none"/>
      </w:rPr>
    </w:lvl>
    <w:lvl w:ilvl="1" w:tentative="0">
      <w:start w:val="1"/>
      <w:numFmt w:val="decimal"/>
      <w:lvlText w:val=""/>
      <w:lvlJc w:val="left"/>
      <w:rPr>
        <w:rFonts w:hint="default" w:cs="Times New Roman"/>
        <w:u w:val="none"/>
      </w:rPr>
    </w:lvl>
    <w:lvl w:ilvl="2" w:tentative="0">
      <w:start w:val="1"/>
      <w:numFmt w:val="decimal"/>
      <w:lvlText w:val=""/>
      <w:lvlJc w:val="left"/>
      <w:rPr>
        <w:rFonts w:hint="default" w:cs="Times New Roman"/>
        <w:u w:val="none"/>
      </w:rPr>
    </w:lvl>
    <w:lvl w:ilvl="3" w:tentative="0">
      <w:start w:val="1"/>
      <w:numFmt w:val="decimal"/>
      <w:lvlText w:val=""/>
      <w:lvlJc w:val="left"/>
      <w:rPr>
        <w:rFonts w:hint="default" w:cs="Times New Roman"/>
        <w:u w:val="none"/>
      </w:rPr>
    </w:lvl>
    <w:lvl w:ilvl="4" w:tentative="0">
      <w:start w:val="1"/>
      <w:numFmt w:val="decimal"/>
      <w:lvlText w:val=""/>
      <w:lvlJc w:val="left"/>
      <w:rPr>
        <w:rFonts w:hint="default" w:cs="Times New Roman"/>
        <w:u w:val="none"/>
      </w:rPr>
    </w:lvl>
    <w:lvl w:ilvl="5" w:tentative="0">
      <w:start w:val="1"/>
      <w:numFmt w:val="decimal"/>
      <w:lvlText w:val=""/>
      <w:lvlJc w:val="left"/>
      <w:rPr>
        <w:rFonts w:hint="default" w:cs="Times New Roman"/>
        <w:u w:val="none"/>
      </w:rPr>
    </w:lvl>
    <w:lvl w:ilvl="6" w:tentative="0">
      <w:start w:val="1"/>
      <w:numFmt w:val="decimal"/>
      <w:lvlText w:val=""/>
      <w:lvlJc w:val="left"/>
      <w:rPr>
        <w:rFonts w:hint="default" w:cs="Times New Roman"/>
        <w:u w:val="none"/>
      </w:rPr>
    </w:lvl>
    <w:lvl w:ilvl="7" w:tentative="0">
      <w:start w:val="1"/>
      <w:numFmt w:val="decimal"/>
      <w:lvlText w:val=""/>
      <w:lvlJc w:val="left"/>
      <w:rPr>
        <w:rFonts w:hint="default" w:cs="Times New Roman"/>
        <w:u w:val="none"/>
      </w:rPr>
    </w:lvl>
    <w:lvl w:ilvl="8" w:tentative="0">
      <w:start w:val="1"/>
      <w:numFmt w:val="decimal"/>
      <w:lvlText w:val=""/>
      <w:lvlJc w:val="left"/>
      <w:rPr>
        <w:rFonts w:hint="default" w:cs="Times New Roman"/>
        <w:u w:val="none"/>
      </w:rPr>
    </w:lvl>
  </w:abstractNum>
  <w:abstractNum w:abstractNumId="4">
    <w:nsid w:val="41B3FF39"/>
    <w:multiLevelType w:val="multilevel"/>
    <w:tmpl w:val="41B3FF39"/>
    <w:lvl w:ilvl="0" w:tentative="0">
      <w:start w:val="2"/>
      <w:numFmt w:val="chineseCounting"/>
      <w:suff w:val="nothing"/>
      <w:lvlText w:val="（%1）"/>
      <w:lvlJc w:val="left"/>
      <w:rPr>
        <w:rFonts w:hint="default" w:cs="Times New Roman"/>
        <w:u w:val="none"/>
      </w:rPr>
    </w:lvl>
    <w:lvl w:ilvl="1" w:tentative="0">
      <w:start w:val="1"/>
      <w:numFmt w:val="decimal"/>
      <w:lvlText w:val="（"/>
      <w:lvlJc w:val="left"/>
      <w:rPr>
        <w:rFonts w:hint="default" w:cs="Times New Roman"/>
        <w:u w:val="none"/>
      </w:rPr>
    </w:lvl>
    <w:lvl w:ilvl="2" w:tentative="0">
      <w:start w:val="1"/>
      <w:numFmt w:val="decimal"/>
      <w:lvlText w:val="（"/>
      <w:lvlJc w:val="left"/>
      <w:rPr>
        <w:rFonts w:hint="default" w:cs="Times New Roman"/>
        <w:u w:val="none"/>
      </w:rPr>
    </w:lvl>
    <w:lvl w:ilvl="3" w:tentative="0">
      <w:start w:val="1"/>
      <w:numFmt w:val="decimal"/>
      <w:lvlText w:val="（"/>
      <w:lvlJc w:val="left"/>
      <w:rPr>
        <w:rFonts w:hint="default" w:cs="Times New Roman"/>
        <w:u w:val="none"/>
      </w:rPr>
    </w:lvl>
    <w:lvl w:ilvl="4" w:tentative="0">
      <w:start w:val="1"/>
      <w:numFmt w:val="decimal"/>
      <w:lvlText w:val="（"/>
      <w:lvlJc w:val="left"/>
      <w:rPr>
        <w:rFonts w:hint="default" w:cs="Times New Roman"/>
        <w:u w:val="none"/>
      </w:rPr>
    </w:lvl>
    <w:lvl w:ilvl="5" w:tentative="0">
      <w:start w:val="1"/>
      <w:numFmt w:val="decimal"/>
      <w:lvlText w:val="（"/>
      <w:lvlJc w:val="left"/>
      <w:rPr>
        <w:rFonts w:hint="default" w:cs="Times New Roman"/>
        <w:u w:val="none"/>
      </w:rPr>
    </w:lvl>
    <w:lvl w:ilvl="6" w:tentative="0">
      <w:start w:val="1"/>
      <w:numFmt w:val="decimal"/>
      <w:lvlText w:val="（"/>
      <w:lvlJc w:val="left"/>
      <w:rPr>
        <w:rFonts w:hint="default" w:cs="Times New Roman"/>
        <w:u w:val="none"/>
      </w:rPr>
    </w:lvl>
    <w:lvl w:ilvl="7" w:tentative="0">
      <w:start w:val="1"/>
      <w:numFmt w:val="decimal"/>
      <w:lvlText w:val="（"/>
      <w:lvlJc w:val="left"/>
      <w:rPr>
        <w:rFonts w:hint="default" w:cs="Times New Roman"/>
        <w:u w:val="none"/>
      </w:rPr>
    </w:lvl>
    <w:lvl w:ilvl="8" w:tentative="0">
      <w:start w:val="1"/>
      <w:numFmt w:val="decimal"/>
      <w:lvlText w:val="（"/>
      <w:lvlJc w:val="left"/>
      <w:rPr>
        <w:rFonts w:hint="default" w:cs="Times New Roman"/>
        <w:u w:val="none"/>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ZGMzMjE2MmE4NzZiODZlYzlhMWVlZTliMDdjMWEifQ=="/>
    <w:docVar w:name="KSO_WPS_MARK_KEY" w:val="56075f54-72fa-4072-82f5-edd580698664"/>
  </w:docVars>
  <w:rsids>
    <w:rsidRoot w:val="00172A27"/>
    <w:rsid w:val="00172A27"/>
    <w:rsid w:val="002A5633"/>
    <w:rsid w:val="0035269C"/>
    <w:rsid w:val="00421BE2"/>
    <w:rsid w:val="0052383B"/>
    <w:rsid w:val="00661709"/>
    <w:rsid w:val="00680FB2"/>
    <w:rsid w:val="007B1E34"/>
    <w:rsid w:val="00812EF2"/>
    <w:rsid w:val="00B160F8"/>
    <w:rsid w:val="012A0989"/>
    <w:rsid w:val="01D87122"/>
    <w:rsid w:val="046E3282"/>
    <w:rsid w:val="08C863EC"/>
    <w:rsid w:val="09A432A2"/>
    <w:rsid w:val="0C0D3381"/>
    <w:rsid w:val="0C0F55C0"/>
    <w:rsid w:val="0CD45C4C"/>
    <w:rsid w:val="0E2E6163"/>
    <w:rsid w:val="0FF46D31"/>
    <w:rsid w:val="15DB43C3"/>
    <w:rsid w:val="18303E12"/>
    <w:rsid w:val="183121A5"/>
    <w:rsid w:val="18383533"/>
    <w:rsid w:val="19063631"/>
    <w:rsid w:val="1C550B58"/>
    <w:rsid w:val="1E5906A7"/>
    <w:rsid w:val="1EB458DE"/>
    <w:rsid w:val="1F7B758B"/>
    <w:rsid w:val="20895274"/>
    <w:rsid w:val="218617B3"/>
    <w:rsid w:val="22B5325D"/>
    <w:rsid w:val="22C173AC"/>
    <w:rsid w:val="234D524F"/>
    <w:rsid w:val="23DC56BB"/>
    <w:rsid w:val="246241D4"/>
    <w:rsid w:val="2AFA0B1C"/>
    <w:rsid w:val="2CE101E6"/>
    <w:rsid w:val="2EF04710"/>
    <w:rsid w:val="320D55D9"/>
    <w:rsid w:val="321D46A2"/>
    <w:rsid w:val="32F6606D"/>
    <w:rsid w:val="33D95773"/>
    <w:rsid w:val="36211653"/>
    <w:rsid w:val="36231819"/>
    <w:rsid w:val="37991DE9"/>
    <w:rsid w:val="38010838"/>
    <w:rsid w:val="386F66A6"/>
    <w:rsid w:val="389F1CD9"/>
    <w:rsid w:val="3C9C54F9"/>
    <w:rsid w:val="3E3363C7"/>
    <w:rsid w:val="40827192"/>
    <w:rsid w:val="44B33DBE"/>
    <w:rsid w:val="45A349A6"/>
    <w:rsid w:val="45D466E2"/>
    <w:rsid w:val="46D17E79"/>
    <w:rsid w:val="49262DB0"/>
    <w:rsid w:val="4AF55130"/>
    <w:rsid w:val="4B421DA7"/>
    <w:rsid w:val="4B7E6288"/>
    <w:rsid w:val="4C15710C"/>
    <w:rsid w:val="4E1F65E2"/>
    <w:rsid w:val="4FF21C3E"/>
    <w:rsid w:val="5119144D"/>
    <w:rsid w:val="520E05BC"/>
    <w:rsid w:val="53C25DCC"/>
    <w:rsid w:val="57FB0818"/>
    <w:rsid w:val="59E13BDC"/>
    <w:rsid w:val="59EF5441"/>
    <w:rsid w:val="5B2630E4"/>
    <w:rsid w:val="5C6C116D"/>
    <w:rsid w:val="5C9B540C"/>
    <w:rsid w:val="627778A2"/>
    <w:rsid w:val="630E06E5"/>
    <w:rsid w:val="649045EE"/>
    <w:rsid w:val="67B4358F"/>
    <w:rsid w:val="69A0391B"/>
    <w:rsid w:val="6B1116BB"/>
    <w:rsid w:val="6B9419A4"/>
    <w:rsid w:val="6C6B6BA9"/>
    <w:rsid w:val="6EDD0820"/>
    <w:rsid w:val="702A6D7B"/>
    <w:rsid w:val="704F233D"/>
    <w:rsid w:val="70787AE6"/>
    <w:rsid w:val="72760055"/>
    <w:rsid w:val="792A1B99"/>
    <w:rsid w:val="79711576"/>
    <w:rsid w:val="7A952762"/>
    <w:rsid w:val="7E040C0B"/>
    <w:rsid w:val="7E89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3">
    <w:name w:val="heading 1"/>
    <w:basedOn w:val="1"/>
    <w:next w:val="1"/>
    <w:link w:val="12"/>
    <w:unhideWhenUsed/>
    <w:qFormat/>
    <w:uiPriority w:val="99"/>
    <w:pPr>
      <w:outlineLvl w:val="0"/>
    </w:pPr>
  </w:style>
  <w:style w:type="paragraph" w:styleId="4">
    <w:name w:val="heading 2"/>
    <w:basedOn w:val="1"/>
    <w:next w:val="1"/>
    <w:link w:val="13"/>
    <w:unhideWhenUsed/>
    <w:qFormat/>
    <w:uiPriority w:val="99"/>
    <w:pPr>
      <w:outlineLvl w:val="1"/>
    </w:p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5">
    <w:name w:val="Body Text"/>
    <w:basedOn w:val="1"/>
    <w:link w:val="14"/>
    <w:unhideWhenUsed/>
    <w:qFormat/>
    <w:uiPriority w:val="99"/>
    <w:pPr>
      <w:spacing w:beforeLines="30"/>
    </w:pPr>
    <w:rPr>
      <w:rFonts w:ascii="仿宋_GB2312" w:eastAsia="仿宋_GB2312"/>
    </w:rPr>
  </w:style>
  <w:style w:type="paragraph" w:styleId="6">
    <w:name w:val="footer"/>
    <w:basedOn w:val="1"/>
    <w:link w:val="16"/>
    <w:unhideWhenUsed/>
    <w:qFormat/>
    <w:uiPriority w:val="99"/>
    <w:pPr>
      <w:tabs>
        <w:tab w:val="center" w:pos="4153"/>
        <w:tab w:val="right" w:pos="8306"/>
      </w:tabs>
      <w:snapToGrid w:val="0"/>
    </w:pPr>
    <w:rPr>
      <w:rFonts w:ascii="Calibri" w:hAnsi="Calibri"/>
      <w:sz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rPr>
  </w:style>
  <w:style w:type="character" w:styleId="11">
    <w:name w:val="Strong"/>
    <w:basedOn w:val="10"/>
    <w:unhideWhenUsed/>
    <w:qFormat/>
    <w:uiPriority w:val="99"/>
    <w:rPr>
      <w:rFonts w:hint="default" w:cs="Times New Roman"/>
      <w:b/>
      <w:sz w:val="24"/>
      <w:szCs w:val="24"/>
    </w:rPr>
  </w:style>
  <w:style w:type="character" w:customStyle="1" w:styleId="12">
    <w:name w:val="标题 1 字符"/>
    <w:basedOn w:val="10"/>
    <w:link w:val="3"/>
    <w:unhideWhenUsed/>
    <w:qFormat/>
    <w:locked/>
    <w:uiPriority w:val="9"/>
    <w:rPr>
      <w:rFonts w:hint="default" w:cs="Times New Roman"/>
      <w:b/>
      <w:kern w:val="44"/>
      <w:sz w:val="44"/>
      <w:szCs w:val="44"/>
    </w:rPr>
  </w:style>
  <w:style w:type="character" w:customStyle="1" w:styleId="13">
    <w:name w:val="标题 2 字符"/>
    <w:basedOn w:val="10"/>
    <w:link w:val="4"/>
    <w:unhideWhenUsed/>
    <w:qFormat/>
    <w:locked/>
    <w:uiPriority w:val="9"/>
    <w:rPr>
      <w:rFonts w:hint="default" w:cs="Times New Roman"/>
      <w:sz w:val="24"/>
      <w:szCs w:val="24"/>
    </w:rPr>
  </w:style>
  <w:style w:type="character" w:customStyle="1" w:styleId="14">
    <w:name w:val="正文文本 字符"/>
    <w:basedOn w:val="10"/>
    <w:link w:val="5"/>
    <w:unhideWhenUsed/>
    <w:qFormat/>
    <w:locked/>
    <w:uiPriority w:val="99"/>
    <w:rPr>
      <w:rFonts w:hint="default" w:cs="Times New Roman"/>
      <w:sz w:val="24"/>
      <w:szCs w:val="24"/>
    </w:rPr>
  </w:style>
  <w:style w:type="character" w:customStyle="1" w:styleId="15">
    <w:name w:val="页眉 字符"/>
    <w:basedOn w:val="10"/>
    <w:link w:val="7"/>
    <w:unhideWhenUsed/>
    <w:qFormat/>
    <w:locked/>
    <w:uiPriority w:val="99"/>
    <w:rPr>
      <w:rFonts w:hint="default" w:cs="Times New Roman"/>
      <w:sz w:val="18"/>
      <w:szCs w:val="18"/>
    </w:rPr>
  </w:style>
  <w:style w:type="character" w:customStyle="1" w:styleId="16">
    <w:name w:val="页脚 字符"/>
    <w:basedOn w:val="10"/>
    <w:link w:val="6"/>
    <w:unhideWhenUsed/>
    <w:qFormat/>
    <w:locked/>
    <w:uiPriority w:val="99"/>
    <w:rPr>
      <w:rFonts w:hint="default" w:cs="Times New Roman"/>
      <w:sz w:val="18"/>
      <w:szCs w:val="18"/>
    </w:rPr>
  </w:style>
  <w:style w:type="paragraph" w:customStyle="1" w:styleId="17">
    <w:name w:val="章标题"/>
    <w:basedOn w:val="1"/>
    <w:next w:val="1"/>
    <w:qFormat/>
    <w:uiPriority w:val="99"/>
    <w:pPr>
      <w:autoSpaceDE/>
      <w:autoSpaceDN/>
      <w:adjustRightInd/>
      <w:spacing w:before="158" w:after="153" w:line="323" w:lineRule="atLeast"/>
      <w:ind w:right="-120"/>
      <w:jc w:val="center"/>
      <w:textAlignment w:val="baseline"/>
    </w:pPr>
    <w:rPr>
      <w:rFonts w:hint="default"/>
      <w:color w:val="FF0000"/>
      <w:kern w:val="2"/>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3.09&#36130;&#21153;&#36164;&#26009;\&#32479;&#35745;&#22270;(1)(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3.09&#36130;&#21153;&#36164;&#26009;\&#32479;&#35745;&#22270;(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3.09&#36130;&#21153;&#36164;&#26009;\&#32479;&#35745;&#22270;(1)(2).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2023.09&#36130;&#21153;&#36164;&#26009;\&#32479;&#35745;&#22270;(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3.09&#36130;&#21153;&#36164;&#26009;\&#32479;&#35745;&#22270;(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3.09&#36130;&#21153;&#36164;&#26009;\&#32479;&#35745;&#22270;(1)(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3.09&#36130;&#21153;&#36164;&#26009;\2020&#24180;&#24230;&#37096;&#38376;&#20915;&#31639;&#32479;&#35745;&#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：收、支决算总计变动情况图</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lumMod val="75000"/>
              </a:schemeClr>
            </a:solidFill>
            <a:ln>
              <a:noFill/>
            </a:ln>
            <a:effectLst/>
          </c:spPr>
          <c:invertIfNegative val="0"/>
          <c:dPt>
            <c:idx val="0"/>
            <c:invertIfNegative val="0"/>
            <c:bubble3D val="0"/>
            <c:spPr>
              <a:solidFill>
                <a:srgbClr val="FF0000"/>
              </a:solidFill>
              <a:ln>
                <a:noFill/>
              </a:ln>
              <a:effectLst/>
            </c:spPr>
          </c:dPt>
          <c:dPt>
            <c:idx val="1"/>
            <c:invertIfNegative val="0"/>
            <c:bubble3D val="0"/>
            <c:spPr>
              <a:solidFill>
                <a:srgbClr val="0070C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'[统计图(1)(2).xls]Sheet1'!$A$1:$A$2</c:f>
              <c:strCache>
                <c:ptCount val="2"/>
                <c:pt idx="0">
                  <c:v>2022年</c:v>
                </c:pt>
                <c:pt idx="1">
                  <c:v>2023年</c:v>
                </c:pt>
              </c:strCache>
            </c:strRef>
          </c:cat>
          <c:val>
            <c:numRef>
              <c:f>'[统计图(1)(2).xls]Sheet1'!$B$1:$B$2</c:f>
              <c:numCache>
                <c:formatCode>General</c:formatCode>
                <c:ptCount val="2"/>
                <c:pt idx="0">
                  <c:v>770.32</c:v>
                </c:pt>
                <c:pt idx="1">
                  <c:v>860.48</c:v>
                </c:pt>
              </c:numCache>
            </c:numRef>
          </c:val>
        </c:ser>
        <c:dLbls>
          <c:showLegendKey val="0"/>
          <c:showVal val="0"/>
          <c:showCatName val="0"/>
          <c:showSerName val="0"/>
          <c:showPercent val="0"/>
          <c:showBubbleSize val="0"/>
        </c:dLbls>
        <c:gapWidth val="219"/>
        <c:overlap val="-27"/>
        <c:axId val="208962166"/>
        <c:axId val="198720060"/>
      </c:barChart>
      <c:catAx>
        <c:axId val="20896216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720060"/>
        <c:crosses val="autoZero"/>
        <c:auto val="1"/>
        <c:lblAlgn val="ctr"/>
        <c:lblOffset val="100"/>
        <c:noMultiLvlLbl val="0"/>
      </c:catAx>
      <c:valAx>
        <c:axId val="198720060"/>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0388888888888889"/>
              <c:y val="0.47712962962963"/>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96216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rgbClr val="FF0000"/>
              </a:solidFill>
              <a:ln w="19050">
                <a:noFill/>
              </a:ln>
              <a:effectLst/>
            </c:spPr>
          </c:dPt>
          <c:dLbls>
            <c:dLbl>
              <c:idx val="0"/>
              <c:layout>
                <c:manualLayout>
                  <c:x val="0.00839423482988427"/>
                  <c:y val="-0.1661222692109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一般公共预算财政拨款收入</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100</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其他收入</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1.30</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'[统计图(1)(2).xls]Sheet2'!$A$1:$A$2</c:f>
              <c:strCache>
                <c:ptCount val="2"/>
                <c:pt idx="0">
                  <c:v>一般公共预算财政拨款收入860.48万元</c:v>
                </c:pt>
              </c:strCache>
            </c:strRef>
          </c:cat>
          <c:val>
            <c:numRef>
              <c:f>'[统计图(1)(2).xls]Sheet2'!$B$1:$B$2</c:f>
              <c:numCache>
                <c:formatCode>0.00%</c:formatCode>
                <c:ptCount val="2"/>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3</a:t>
            </a:r>
            <a:r>
              <a:rPr lang="zh-CN" altLang="en-US"/>
              <a:t>：支出决算结构图</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Lbls>
            <c:dLbl>
              <c:idx val="0"/>
              <c:layout>
                <c:manualLayout>
                  <c:x val="-0.00769264554081657"/>
                  <c:y val="-0.19803549590274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基本支出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98.30%</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项目支出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1.70%</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'[统计图(1)(2).xls]Sheet3'!$A$1:$A$2</c:f>
              <c:strCache>
                <c:ptCount val="2"/>
                <c:pt idx="0">
                  <c:v>基本支出845.87万元</c:v>
                </c:pt>
                <c:pt idx="1">
                  <c:v>项目支出14.61万元</c:v>
                </c:pt>
              </c:strCache>
            </c:strRef>
          </c:cat>
          <c:val>
            <c:numRef>
              <c:f>'[统计图(1)(2).xls]Sheet3'!$B$1:$B$2</c:f>
              <c:numCache>
                <c:formatCode>0.00%</c:formatCode>
                <c:ptCount val="2"/>
                <c:pt idx="0">
                  <c:v>0.983</c:v>
                </c:pt>
                <c:pt idx="1">
                  <c:v>0.017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rPr lang="zh-CN" altLang="en-US"/>
              <a:t>图</a:t>
            </a:r>
            <a:r>
              <a:rPr lang="en-US" altLang="zh-CN"/>
              <a:t>4</a:t>
            </a:r>
            <a:r>
              <a:rPr lang="zh-CN" altLang="en-US"/>
              <a:t>：财政拨款收、支决算总计变动情况</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rgbClr val="5B9BD5"/>
            </a:solidFill>
            <a:ln>
              <a:noFill/>
            </a:ln>
            <a:effectLst/>
          </c:spPr>
          <c:invertIfNegative val="0"/>
          <c:dPt>
            <c:idx val="0"/>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'[统计图(1)(2).xls]Sheet4'!$A$1:$A$2</c:f>
              <c:strCache>
                <c:ptCount val="2"/>
                <c:pt idx="0">
                  <c:v>2022年财政拨款收、支总计</c:v>
                </c:pt>
                <c:pt idx="1">
                  <c:v>2023年财政拨款收、支总计</c:v>
                </c:pt>
              </c:strCache>
            </c:strRef>
          </c:cat>
          <c:val>
            <c:numRef>
              <c:f>'[统计图(1)(2).xls]Sheet4'!$B$1:$B$2</c:f>
              <c:numCache>
                <c:formatCode>General</c:formatCode>
                <c:ptCount val="2"/>
                <c:pt idx="0">
                  <c:v>770.32</c:v>
                </c:pt>
                <c:pt idx="1">
                  <c:v>860.48</c:v>
                </c:pt>
              </c:numCache>
            </c:numRef>
          </c:val>
        </c:ser>
        <c:dLbls>
          <c:showLegendKey val="0"/>
          <c:showVal val="0"/>
          <c:showCatName val="0"/>
          <c:showSerName val="0"/>
          <c:showPercent val="0"/>
          <c:showBubbleSize val="0"/>
        </c:dLbls>
        <c:gapWidth val="219"/>
        <c:overlap val="-27"/>
        <c:axId val="814744367"/>
        <c:axId val="677878992"/>
      </c:barChart>
      <c:catAx>
        <c:axId val="814744367"/>
        <c:scaling>
          <c:orientation val="minMax"/>
        </c:scaling>
        <c:delete val="0"/>
        <c:axPos val="b"/>
        <c:numFmt formatCode="General" sourceLinked="0"/>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77878992"/>
        <c:crosses val="autoZero"/>
        <c:auto val="1"/>
        <c:lblAlgn val="ctr"/>
        <c:lblOffset val="100"/>
        <c:noMultiLvlLbl val="0"/>
      </c:catAx>
      <c:valAx>
        <c:axId val="677878992"/>
        <c:scaling>
          <c:orientation val="minMax"/>
          <c:min val="0"/>
        </c:scaling>
        <c:delete val="0"/>
        <c:axPos val="l"/>
        <c:majorGridlines>
          <c:spPr>
            <a:ln w="9525" cap="flat" cmpd="sng" algn="ctr">
              <a:solidFill>
                <a:sysClr val="windowText" lastClr="000000">
                  <a:lumMod val="15000"/>
                  <a:lumOff val="85000"/>
                </a:sys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lumMod val="65000"/>
                        <a:lumOff val="35000"/>
                      </a:sys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814744367"/>
        <c:crosses val="autoZero"/>
        <c:crossBetween val="between"/>
      </c:valAx>
      <c:spPr>
        <a:noFill/>
        <a:ln>
          <a:noFill/>
        </a:ln>
        <a:effectLst/>
      </c:spPr>
    </c:plotArea>
    <c:plotVisOnly val="1"/>
    <c:dispBlanksAs val="gap"/>
    <c:showDLblsOverMax val="0"/>
  </c:chart>
  <c:spPr>
    <a:solidFill>
      <a:sysClr val="window" lastClr="FFFFFF"/>
    </a:solidFill>
    <a:ln w="9525" cap="flat" cmpd="sng" algn="ctr">
      <a:solidFill>
        <a:sysClr val="windowText" lastClr="000000">
          <a:lumMod val="15000"/>
          <a:lumOff val="85000"/>
        </a:sys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5</a:t>
            </a:r>
            <a:r>
              <a:rPr lang="zh-CN" altLang="en-US"/>
              <a:t>：一般公共预算财政拨款支出决算变动情况</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10833333333333"/>
          <c:y val="0.0173611111111111"/>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'[统计图(1)(2).xls]Sheet5'!$A$1:$A$2</c:f>
              <c:strCache>
                <c:ptCount val="2"/>
                <c:pt idx="0">
                  <c:v>2022年一般公共预算财政拨款支出</c:v>
                </c:pt>
                <c:pt idx="1">
                  <c:v>2023年一般公共预算财政拨款支出</c:v>
                </c:pt>
              </c:strCache>
            </c:strRef>
          </c:cat>
          <c:val>
            <c:numRef>
              <c:f>'[统计图(1)(2).xls]Sheet5'!$B$1:$B$2</c:f>
              <c:numCache>
                <c:formatCode>General</c:formatCode>
                <c:ptCount val="2"/>
                <c:pt idx="0">
                  <c:v>770.32</c:v>
                </c:pt>
                <c:pt idx="1">
                  <c:v>860.48</c:v>
                </c:pt>
              </c:numCache>
            </c:numRef>
          </c:val>
        </c:ser>
        <c:dLbls>
          <c:showLegendKey val="0"/>
          <c:showVal val="0"/>
          <c:showCatName val="0"/>
          <c:showSerName val="0"/>
          <c:showPercent val="0"/>
          <c:showBubbleSize val="0"/>
        </c:dLbls>
        <c:gapWidth val="219"/>
        <c:overlap val="-27"/>
        <c:axId val="596020150"/>
        <c:axId val="599987987"/>
      </c:barChart>
      <c:catAx>
        <c:axId val="5960201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9987987"/>
        <c:crosses val="autoZero"/>
        <c:auto val="1"/>
        <c:lblAlgn val="ctr"/>
        <c:lblOffset val="100"/>
        <c:noMultiLvlLbl val="0"/>
      </c:catAx>
      <c:valAx>
        <c:axId val="599987987"/>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02015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6</a:t>
            </a:r>
            <a:r>
              <a:rPr lang="zh-CN" altLang="en-US"/>
              <a:t>：一般公共预算财政拨款支出决算结构</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rgbClr val="FFFF00"/>
              </a:solidFill>
              <a:ln w="19050">
                <a:solidFill>
                  <a:schemeClr val="accent1"/>
                </a:solidFill>
              </a:ln>
              <a:effectLst/>
            </c:spPr>
          </c:dPt>
          <c:dPt>
            <c:idx val="3"/>
            <c:bubble3D val="0"/>
            <c:spPr>
              <a:solidFill>
                <a:srgbClr val="FF0000"/>
              </a:solidFill>
              <a:ln w="19050">
                <a:solidFill>
                  <a:schemeClr val="accent1"/>
                </a:solidFill>
              </a:ln>
              <a:effectLst/>
            </c:spPr>
          </c:dPt>
          <c:dPt>
            <c:idx val="4"/>
            <c:bubble3D val="0"/>
            <c:spPr>
              <a:ln w="19050">
                <a:noFill/>
              </a:ln>
            </c:spPr>
          </c:dPt>
          <c:dLbls>
            <c:dLbl>
              <c:idx val="0"/>
              <c:layout>
                <c:manualLayout>
                  <c:x val="-0.0550884583304086"/>
                  <c:y val="-0.20490432820491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教育支出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77.24</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3073592771986"/>
                  <c:y val="0.022003879849274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农林水支出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1.28%</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社会保障和就业支出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10.40</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157141221656587"/>
                  <c:y val="0.063974765874523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住房保障支出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7.30%</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卫生健康支出</a:t>
                    </a:r>
                    <a:r>
                      <a:rPr lang="en-US" altLang="zh-CN"/>
                      <a:t>3.78%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'[统计图(1)(2).xls]Sheet6'!$A$1:$A$5</c:f>
              <c:strCache>
                <c:ptCount val="5"/>
                <c:pt idx="0">
                  <c:v>教育支出（类）664.60万元</c:v>
                </c:pt>
                <c:pt idx="1">
                  <c:v>农林水支出10.99万元</c:v>
                </c:pt>
                <c:pt idx="2">
                  <c:v>社会保障和就业支出89.44万元</c:v>
                </c:pt>
                <c:pt idx="3">
                  <c:v>住房保障支出62.87万元</c:v>
                </c:pt>
                <c:pt idx="4">
                  <c:v>卫生健康支出32.58万元</c:v>
                </c:pt>
              </c:strCache>
            </c:strRef>
          </c:cat>
          <c:val>
            <c:numRef>
              <c:f>'[统计图(1)(2).xls]Sheet6'!$B$1:$B$5</c:f>
              <c:numCache>
                <c:formatCode>0.00%</c:formatCode>
                <c:ptCount val="5"/>
                <c:pt idx="0">
                  <c:v>0.7724</c:v>
                </c:pt>
                <c:pt idx="1">
                  <c:v>0.0128</c:v>
                </c:pt>
                <c:pt idx="2">
                  <c:v>0.104</c:v>
                </c:pt>
                <c:pt idx="3">
                  <c:v>0.073</c:v>
                </c:pt>
                <c:pt idx="4">
                  <c:v>0.0378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“三公”经费财政拨款支出结构图</a:t>
            </a:r>
            <a:endParaRPr lang="zh-CN" altLang="en-US"/>
          </a:p>
        </c:rich>
      </c:tx>
      <c:layout/>
      <c:overlay val="0"/>
    </c:title>
    <c:autoTitleDeleted val="0"/>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[2020年度部门决算统计图.xlsx]Sheet6!$A$1:$A$2</c:f>
              <c:strCache>
                <c:ptCount val="2"/>
                <c:pt idx="0">
                  <c:v>“三公”支出0.00万元</c:v>
                </c:pt>
                <c:pt idx="1">
                  <c:v>公务接待费支出0.0万元</c:v>
                </c:pt>
              </c:strCache>
            </c:strRef>
          </c:cat>
          <c:val>
            <c:numRef>
              <c:f>[2020年度部门决算统计图.xlsx]Sheet6!$B$1:$B$2</c:f>
              <c:numCache>
                <c:formatCode>General</c:formatCode>
                <c:ptCount val="2"/>
                <c:pt idx="0">
                  <c:v>0</c:v>
                </c:pt>
                <c:pt idx="1">
                  <c:v>0.03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6290</Words>
  <Characters>6960</Characters>
  <Lines>54</Lines>
  <Paragraphs>15</Paragraphs>
  <TotalTime>5</TotalTime>
  <ScaleCrop>false</ScaleCrop>
  <LinksUpToDate>false</LinksUpToDate>
  <CharactersWithSpaces>7075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2023-09-01T08:04:00Z</dcterms:created>
  <dc:creator>HP</dc:creator>
  <cp:lastModifiedBy>射洪市市教育体育局</cp:lastModifiedBy>
  <dcterms:modified xsi:type="dcterms:W3CDTF">2013-01-01T04:11:45Z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E1D6BE97994D46A987C9A2C4C711CF9C</vt:lpwstr>
  </property>
</Properties>
</file>