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C251FD">
      <w:pPr>
        <w:spacing w:line="600" w:lineRule="exact"/>
        <w:jc w:val="left"/>
        <w:outlineLvl w:val="9"/>
        <w:rPr>
          <w:rFonts w:ascii="方正小标宋简体" w:hAnsi="宋体" w:eastAsia="方正小标宋简体"/>
          <w:szCs w:val="21"/>
        </w:rPr>
      </w:pPr>
      <w:bookmarkStart w:id="0" w:name="_Toc15306267"/>
    </w:p>
    <w:p w14:paraId="12C6F97F">
      <w:pPr>
        <w:pStyle w:val="6"/>
        <w:spacing w:before="93"/>
      </w:pPr>
    </w:p>
    <w:p w14:paraId="1711F6A5">
      <w:pPr>
        <w:spacing w:line="600" w:lineRule="exact"/>
        <w:jc w:val="center"/>
        <w:outlineLvl w:val="9"/>
        <w:rPr>
          <w:rFonts w:ascii="方正小标宋简体" w:hAnsi="宋体" w:eastAsia="方正小标宋简体"/>
          <w:sz w:val="72"/>
          <w:szCs w:val="72"/>
        </w:rPr>
      </w:pPr>
    </w:p>
    <w:p w14:paraId="168A6A94">
      <w:pPr>
        <w:spacing w:line="600" w:lineRule="exact"/>
        <w:jc w:val="center"/>
        <w:outlineLvl w:val="9"/>
        <w:rPr>
          <w:rFonts w:ascii="方正小标宋简体" w:hAnsi="宋体" w:eastAsia="方正小标宋简体"/>
          <w:sz w:val="72"/>
          <w:szCs w:val="72"/>
        </w:rPr>
      </w:pPr>
    </w:p>
    <w:p w14:paraId="7E1EE0CE">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1" w:name="_Toc15378441"/>
      <w:bookmarkStart w:id="2" w:name="_Toc14726"/>
      <w:bookmarkStart w:id="3" w:name="_Toc15377193"/>
      <w:bookmarkStart w:id="4" w:name="_Toc15396475"/>
      <w:bookmarkStart w:id="5" w:name="_Toc15377425"/>
      <w:bookmarkStart w:id="6" w:name="_Toc15396597"/>
      <w:r>
        <w:rPr>
          <w:rFonts w:hint="eastAsia" w:ascii="方正小标宋简体" w:hAnsi="方正小标宋简体" w:eastAsia="方正小标宋简体" w:cs="方正小标宋简体"/>
          <w:sz w:val="72"/>
          <w:szCs w:val="72"/>
        </w:rPr>
        <w:t>2023年度</w:t>
      </w:r>
      <w:bookmarkEnd w:id="1"/>
      <w:bookmarkEnd w:id="2"/>
      <w:bookmarkEnd w:id="3"/>
      <w:bookmarkEnd w:id="4"/>
      <w:bookmarkEnd w:id="5"/>
      <w:bookmarkEnd w:id="6"/>
    </w:p>
    <w:p w14:paraId="4F81FB1F">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7" w:name="_Toc32379"/>
      <w:bookmarkStart w:id="8" w:name="_Toc15377426"/>
      <w:bookmarkStart w:id="9" w:name="_Toc15396598"/>
      <w:bookmarkStart w:id="10" w:name="_Toc15378442"/>
      <w:bookmarkStart w:id="11" w:name="_Toc15377194"/>
      <w:bookmarkStart w:id="12" w:name="_Toc15396476"/>
      <w:r>
        <w:rPr>
          <w:rFonts w:hint="eastAsia" w:ascii="方正小标宋简体" w:hAnsi="方正小标宋简体" w:eastAsia="方正小标宋简体" w:cs="方正小标宋简体"/>
          <w:sz w:val="72"/>
          <w:szCs w:val="72"/>
        </w:rPr>
        <w:t>四川省</w:t>
      </w:r>
      <w:bookmarkEnd w:id="0"/>
      <w:bookmarkStart w:id="13" w:name="_Toc15306268"/>
      <w:r>
        <w:rPr>
          <w:rFonts w:hint="eastAsia" w:ascii="方正小标宋简体" w:hAnsi="方正小标宋简体" w:eastAsia="方正小标宋简体" w:cs="方正小标宋简体"/>
          <w:sz w:val="72"/>
          <w:szCs w:val="72"/>
        </w:rPr>
        <w:t>射洪市瞿河学校单位决算</w:t>
      </w:r>
      <w:bookmarkEnd w:id="7"/>
      <w:bookmarkEnd w:id="8"/>
      <w:bookmarkEnd w:id="9"/>
      <w:bookmarkEnd w:id="10"/>
      <w:bookmarkEnd w:id="11"/>
      <w:bookmarkEnd w:id="12"/>
      <w:bookmarkEnd w:id="13"/>
    </w:p>
    <w:p w14:paraId="054B6755">
      <w:pPr>
        <w:widowControl/>
        <w:jc w:val="center"/>
        <w:rPr>
          <w:rFonts w:ascii="黑体" w:hAnsi="黑体" w:eastAsia="黑体" w:cstheme="minorBidi"/>
          <w:sz w:val="28"/>
          <w:szCs w:val="28"/>
        </w:rPr>
      </w:pPr>
      <w:r>
        <w:rPr>
          <w:rFonts w:ascii="方正小标宋简体" w:hAnsi="宋体" w:eastAsia="方正小标宋简体"/>
          <w:sz w:val="36"/>
          <w:szCs w:val="36"/>
        </w:rPr>
        <w:br w:type="page"/>
      </w:r>
    </w:p>
    <w:p w14:paraId="7845227A">
      <w:pPr>
        <w:pStyle w:val="12"/>
      </w:pPr>
      <w:r>
        <w:rPr>
          <w:rFonts w:hint="eastAsia"/>
        </w:rPr>
        <w:t>公开时间：202</w:t>
      </w:r>
      <w:r>
        <w:rPr>
          <w:rFonts w:hint="eastAsia"/>
          <w:lang w:val="en-US" w:eastAsia="zh-CN"/>
        </w:rPr>
        <w:t>4</w:t>
      </w:r>
      <w:r>
        <w:rPr>
          <w:rFonts w:hint="eastAsia"/>
        </w:rPr>
        <w:t>年9月</w:t>
      </w:r>
      <w:r>
        <w:rPr>
          <w:rFonts w:hint="eastAsia"/>
          <w:lang w:val="en-US" w:eastAsia="zh-CN"/>
        </w:rPr>
        <w:t>15</w:t>
      </w:r>
      <w:r>
        <w:rPr>
          <w:rFonts w:hint="eastAsia"/>
        </w:rPr>
        <w:t>日</w:t>
      </w:r>
    </w:p>
    <w:p w14:paraId="5E152D1B"/>
    <w:sdt>
      <w:sdtPr>
        <w:rPr>
          <w:rFonts w:ascii="宋体" w:hAnsi="宋体" w:eastAsia="宋体" w:cs="Times New Roman"/>
          <w:kern w:val="2"/>
          <w:sz w:val="21"/>
          <w:szCs w:val="24"/>
          <w:lang w:val="en-US" w:eastAsia="zh-CN" w:bidi="ar-SA"/>
        </w:rPr>
        <w:id w:val="147476855"/>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14:paraId="6835D897">
          <w:pPr>
            <w:widowControl/>
            <w:jc w:val="center"/>
            <w:rPr>
              <w:rFonts w:ascii="黑体" w:hAnsi="黑体" w:eastAsia="黑体"/>
              <w:sz w:val="48"/>
              <w:szCs w:val="48"/>
            </w:rPr>
          </w:pPr>
          <w:bookmarkStart w:id="14" w:name="_Toc15396599"/>
          <w:bookmarkStart w:id="15" w:name="_Toc15377196"/>
          <w:r>
            <w:rPr>
              <w:rFonts w:hint="eastAsia" w:ascii="黑体" w:hAnsi="黑体" w:eastAsia="黑体"/>
              <w:sz w:val="48"/>
              <w:szCs w:val="48"/>
            </w:rPr>
            <w:t>目</w:t>
          </w:r>
          <w:r>
            <w:rPr>
              <w:rFonts w:hint="eastAsia" w:ascii="黑体" w:hAnsi="黑体" w:eastAsia="黑体"/>
              <w:sz w:val="48"/>
              <w:szCs w:val="48"/>
              <w:lang w:val="en-US" w:eastAsia="zh-CN"/>
            </w:rPr>
            <w:t xml:space="preserve"> </w:t>
          </w:r>
          <w:r>
            <w:rPr>
              <w:rFonts w:hint="eastAsia" w:ascii="黑体" w:hAnsi="黑体" w:eastAsia="黑体"/>
              <w:sz w:val="48"/>
              <w:szCs w:val="48"/>
            </w:rPr>
            <w:t>录</w:t>
          </w:r>
        </w:p>
        <w:p w14:paraId="18763D7A">
          <w:pPr>
            <w:pStyle w:val="36"/>
            <w:tabs>
              <w:tab w:val="right" w:leader="dot" w:pos="8306"/>
            </w:tabs>
            <w:rPr>
              <w:b/>
            </w:rPr>
          </w:pPr>
          <w:r>
            <w:fldChar w:fldCharType="begin"/>
          </w:r>
          <w:r>
            <w:instrText xml:space="preserve">TOC \o "1-2" \h \u </w:instrText>
          </w:r>
          <w:r>
            <w:fldChar w:fldCharType="separate"/>
          </w:r>
        </w:p>
        <w:p w14:paraId="58542BFC">
          <w:pPr>
            <w:pStyle w:val="36"/>
            <w:tabs>
              <w:tab w:val="right" w:leader="dot" w:pos="8306"/>
            </w:tabs>
            <w:rPr>
              <w:b/>
            </w:rPr>
          </w:pPr>
          <w:r>
            <w:rPr>
              <w:b/>
            </w:rPr>
            <w:fldChar w:fldCharType="begin"/>
          </w:r>
          <w:r>
            <w:rPr>
              <w:b/>
            </w:rPr>
            <w:instrText xml:space="preserve"> HYPERLINK \l _Toc25066 </w:instrText>
          </w:r>
          <w:r>
            <w:rPr>
              <w:b/>
            </w:rPr>
            <w:fldChar w:fldCharType="separate"/>
          </w:r>
          <w:r>
            <w:rPr>
              <w:rFonts w:hint="eastAsia" w:ascii="黑体" w:hAnsi="黑体" w:eastAsia="黑体"/>
              <w:b/>
            </w:rPr>
            <w:t>第一部分 单位</w:t>
          </w:r>
          <w:r>
            <w:rPr>
              <w:rFonts w:hint="eastAsia" w:ascii="黑体" w:hAnsi="黑体" w:eastAsia="黑体"/>
              <w:b/>
              <w:bCs w:val="0"/>
            </w:rPr>
            <w:t>概况</w:t>
          </w:r>
          <w:r>
            <w:rPr>
              <w:b/>
            </w:rPr>
            <w:tab/>
          </w:r>
          <w:r>
            <w:rPr>
              <w:b/>
            </w:rPr>
            <w:fldChar w:fldCharType="begin"/>
          </w:r>
          <w:r>
            <w:rPr>
              <w:b/>
            </w:rPr>
            <w:instrText xml:space="preserve"> PAGEREF _Toc25066 \h </w:instrText>
          </w:r>
          <w:r>
            <w:rPr>
              <w:b/>
            </w:rPr>
            <w:fldChar w:fldCharType="separate"/>
          </w:r>
          <w:r>
            <w:rPr>
              <w:b/>
            </w:rPr>
            <w:t>3</w:t>
          </w:r>
          <w:r>
            <w:rPr>
              <w:b/>
            </w:rPr>
            <w:fldChar w:fldCharType="end"/>
          </w:r>
          <w:r>
            <w:rPr>
              <w:b/>
            </w:rPr>
            <w:fldChar w:fldCharType="end"/>
          </w:r>
        </w:p>
        <w:p w14:paraId="17765E5C">
          <w:pPr>
            <w:pStyle w:val="37"/>
            <w:tabs>
              <w:tab w:val="right" w:leader="dot" w:pos="8306"/>
            </w:tabs>
          </w:pPr>
          <w:r>
            <w:fldChar w:fldCharType="begin"/>
          </w:r>
          <w:r>
            <w:instrText xml:space="preserve"> HYPERLINK \l _Toc3301 </w:instrText>
          </w:r>
          <w:r>
            <w:fldChar w:fldCharType="separate"/>
          </w:r>
          <w:r>
            <w:rPr>
              <w:rFonts w:hint="eastAsia" w:ascii="黑体" w:hAnsi="黑体" w:eastAsia="黑体"/>
              <w:bCs w:val="0"/>
            </w:rPr>
            <w:t>一、主要职责</w:t>
          </w:r>
          <w:r>
            <w:tab/>
          </w:r>
          <w:r>
            <w:fldChar w:fldCharType="begin"/>
          </w:r>
          <w:r>
            <w:instrText xml:space="preserve"> PAGEREF _Toc3301 \h </w:instrText>
          </w:r>
          <w:r>
            <w:fldChar w:fldCharType="separate"/>
          </w:r>
          <w:r>
            <w:t>3</w:t>
          </w:r>
          <w:r>
            <w:fldChar w:fldCharType="end"/>
          </w:r>
          <w:r>
            <w:fldChar w:fldCharType="end"/>
          </w:r>
        </w:p>
        <w:p w14:paraId="552FD593">
          <w:pPr>
            <w:pStyle w:val="37"/>
            <w:tabs>
              <w:tab w:val="right" w:leader="dot" w:pos="8306"/>
            </w:tabs>
          </w:pPr>
          <w:r>
            <w:fldChar w:fldCharType="begin"/>
          </w:r>
          <w:r>
            <w:instrText xml:space="preserve"> HYPERLINK \l _Toc1932 </w:instrText>
          </w:r>
          <w:r>
            <w:fldChar w:fldCharType="separate"/>
          </w:r>
          <w:r>
            <w:rPr>
              <w:rFonts w:hint="eastAsia" w:ascii="黑体" w:hAnsi="黑体" w:eastAsia="黑体"/>
            </w:rPr>
            <w:t>二、机构设置</w:t>
          </w:r>
          <w:r>
            <w:tab/>
          </w:r>
          <w:r>
            <w:fldChar w:fldCharType="begin"/>
          </w:r>
          <w:r>
            <w:instrText xml:space="preserve"> PAGEREF _Toc1932 \h </w:instrText>
          </w:r>
          <w:r>
            <w:fldChar w:fldCharType="separate"/>
          </w:r>
          <w:r>
            <w:t>3</w:t>
          </w:r>
          <w:r>
            <w:fldChar w:fldCharType="end"/>
          </w:r>
          <w:r>
            <w:fldChar w:fldCharType="end"/>
          </w:r>
        </w:p>
        <w:p w14:paraId="75B0B6F6">
          <w:pPr>
            <w:pStyle w:val="36"/>
            <w:tabs>
              <w:tab w:val="right" w:leader="dot" w:pos="8306"/>
            </w:tabs>
            <w:rPr>
              <w:b/>
            </w:rPr>
          </w:pPr>
          <w:r>
            <w:rPr>
              <w:b/>
            </w:rPr>
            <w:fldChar w:fldCharType="begin"/>
          </w:r>
          <w:r>
            <w:rPr>
              <w:b/>
            </w:rPr>
            <w:instrText xml:space="preserve"> HYPERLINK \l _Toc29311 </w:instrText>
          </w:r>
          <w:r>
            <w:rPr>
              <w:b/>
            </w:rPr>
            <w:fldChar w:fldCharType="separate"/>
          </w:r>
          <w:r>
            <w:rPr>
              <w:rFonts w:hint="eastAsia" w:ascii="黑体" w:hAnsi="黑体" w:eastAsia="黑体"/>
              <w:b/>
            </w:rPr>
            <w:t>第二部分 2023年度</w:t>
          </w:r>
          <w:r>
            <w:rPr>
              <w:rFonts w:hint="eastAsia" w:ascii="黑体" w:hAnsi="黑体" w:eastAsia="黑体"/>
              <w:b/>
              <w:bCs/>
            </w:rPr>
            <w:t>单位决算情况说明</w:t>
          </w:r>
          <w:r>
            <w:rPr>
              <w:b/>
            </w:rPr>
            <w:tab/>
          </w:r>
          <w:r>
            <w:rPr>
              <w:b/>
            </w:rPr>
            <w:fldChar w:fldCharType="begin"/>
          </w:r>
          <w:r>
            <w:rPr>
              <w:b/>
            </w:rPr>
            <w:instrText xml:space="preserve"> PAGEREF _Toc29311 \h </w:instrText>
          </w:r>
          <w:r>
            <w:rPr>
              <w:b/>
            </w:rPr>
            <w:fldChar w:fldCharType="separate"/>
          </w:r>
          <w:r>
            <w:rPr>
              <w:b/>
            </w:rPr>
            <w:t>4</w:t>
          </w:r>
          <w:r>
            <w:rPr>
              <w:b/>
            </w:rPr>
            <w:fldChar w:fldCharType="end"/>
          </w:r>
          <w:r>
            <w:rPr>
              <w:b/>
            </w:rPr>
            <w:fldChar w:fldCharType="end"/>
          </w:r>
        </w:p>
        <w:p w14:paraId="01F8CE2E">
          <w:pPr>
            <w:pStyle w:val="37"/>
            <w:tabs>
              <w:tab w:val="right" w:leader="dot" w:pos="8306"/>
            </w:tabs>
          </w:pPr>
          <w:r>
            <w:fldChar w:fldCharType="begin"/>
          </w:r>
          <w:r>
            <w:instrText xml:space="preserve"> HYPERLINK \l _Toc30683 </w:instrText>
          </w:r>
          <w:r>
            <w:fldChar w:fldCharType="separate"/>
          </w:r>
          <w:r>
            <w:rPr>
              <w:rFonts w:hint="default" w:ascii="黑体" w:hAnsi="黑体" w:eastAsia="黑体"/>
            </w:rPr>
            <w:t xml:space="preserve">一、 </w:t>
          </w:r>
          <w:r>
            <w:rPr>
              <w:rFonts w:hint="eastAsia" w:ascii="黑体" w:hAnsi="黑体" w:eastAsia="黑体"/>
              <w:szCs w:val="32"/>
            </w:rPr>
            <w:t>收</w:t>
          </w:r>
          <w:r>
            <w:rPr>
              <w:rFonts w:hint="eastAsia" w:ascii="黑体" w:hAnsi="黑体" w:eastAsia="黑体"/>
            </w:rPr>
            <w:t>入支出决算总体情况说明</w:t>
          </w:r>
          <w:r>
            <w:tab/>
          </w:r>
          <w:r>
            <w:fldChar w:fldCharType="begin"/>
          </w:r>
          <w:r>
            <w:instrText xml:space="preserve"> PAGEREF _Toc30683 \h </w:instrText>
          </w:r>
          <w:r>
            <w:fldChar w:fldCharType="separate"/>
          </w:r>
          <w:r>
            <w:t>4</w:t>
          </w:r>
          <w:r>
            <w:fldChar w:fldCharType="end"/>
          </w:r>
          <w:r>
            <w:fldChar w:fldCharType="end"/>
          </w:r>
        </w:p>
        <w:p w14:paraId="4A969EF9">
          <w:pPr>
            <w:pStyle w:val="37"/>
            <w:tabs>
              <w:tab w:val="right" w:leader="dot" w:pos="8306"/>
            </w:tabs>
          </w:pPr>
          <w:r>
            <w:fldChar w:fldCharType="begin"/>
          </w:r>
          <w:r>
            <w:instrText xml:space="preserve"> HYPERLINK \l _Toc20569 </w:instrText>
          </w:r>
          <w:r>
            <w:fldChar w:fldCharType="separate"/>
          </w:r>
          <w:r>
            <w:rPr>
              <w:rFonts w:hint="default" w:ascii="黑体" w:hAnsi="黑体" w:eastAsia="黑体"/>
            </w:rPr>
            <w:t xml:space="preserve">二、 </w:t>
          </w:r>
          <w:r>
            <w:rPr>
              <w:rFonts w:hint="eastAsia" w:ascii="黑体" w:hAnsi="黑体" w:eastAsia="黑体"/>
              <w:szCs w:val="32"/>
            </w:rPr>
            <w:t>收</w:t>
          </w:r>
          <w:r>
            <w:rPr>
              <w:rFonts w:hint="eastAsia" w:ascii="黑体" w:hAnsi="黑体" w:eastAsia="黑体"/>
            </w:rPr>
            <w:t>入决算情况说明</w:t>
          </w:r>
          <w:r>
            <w:tab/>
          </w:r>
          <w:r>
            <w:fldChar w:fldCharType="begin"/>
          </w:r>
          <w:r>
            <w:instrText xml:space="preserve"> PAGEREF _Toc20569 \h </w:instrText>
          </w:r>
          <w:r>
            <w:fldChar w:fldCharType="separate"/>
          </w:r>
          <w:r>
            <w:t>4</w:t>
          </w:r>
          <w:r>
            <w:fldChar w:fldCharType="end"/>
          </w:r>
          <w:r>
            <w:fldChar w:fldCharType="end"/>
          </w:r>
        </w:p>
        <w:p w14:paraId="3B215BF1">
          <w:pPr>
            <w:pStyle w:val="37"/>
            <w:tabs>
              <w:tab w:val="right" w:leader="dot" w:pos="8306"/>
            </w:tabs>
          </w:pPr>
          <w:r>
            <w:fldChar w:fldCharType="begin"/>
          </w:r>
          <w:r>
            <w:instrText xml:space="preserve"> HYPERLINK \l _Toc28888 </w:instrText>
          </w:r>
          <w:r>
            <w:fldChar w:fldCharType="separate"/>
          </w:r>
          <w:r>
            <w:rPr>
              <w:rFonts w:hint="default" w:ascii="黑体" w:hAnsi="黑体" w:eastAsia="黑体"/>
            </w:rPr>
            <w:t xml:space="preserve">三、 </w:t>
          </w:r>
          <w:r>
            <w:rPr>
              <w:rFonts w:hint="eastAsia" w:ascii="黑体" w:hAnsi="黑体" w:eastAsia="黑体"/>
              <w:szCs w:val="32"/>
            </w:rPr>
            <w:t>支</w:t>
          </w:r>
          <w:r>
            <w:rPr>
              <w:rFonts w:hint="eastAsia" w:ascii="黑体" w:hAnsi="黑体" w:eastAsia="黑体"/>
            </w:rPr>
            <w:t>出决算情况说明</w:t>
          </w:r>
          <w:r>
            <w:tab/>
          </w:r>
          <w:r>
            <w:fldChar w:fldCharType="begin"/>
          </w:r>
          <w:r>
            <w:instrText xml:space="preserve"> PAGEREF _Toc28888 \h </w:instrText>
          </w:r>
          <w:r>
            <w:fldChar w:fldCharType="separate"/>
          </w:r>
          <w:r>
            <w:t>5</w:t>
          </w:r>
          <w:r>
            <w:fldChar w:fldCharType="end"/>
          </w:r>
          <w:r>
            <w:fldChar w:fldCharType="end"/>
          </w:r>
        </w:p>
        <w:p w14:paraId="6A9FFFE7">
          <w:pPr>
            <w:pStyle w:val="37"/>
            <w:tabs>
              <w:tab w:val="right" w:leader="dot" w:pos="8306"/>
            </w:tabs>
          </w:pPr>
          <w:r>
            <w:fldChar w:fldCharType="begin"/>
          </w:r>
          <w:r>
            <w:instrText xml:space="preserve"> HYPERLINK \l _Toc23096 </w:instrText>
          </w:r>
          <w:r>
            <w:fldChar w:fldCharType="separate"/>
          </w:r>
          <w:r>
            <w:rPr>
              <w:rFonts w:hint="eastAsia" w:ascii="黑体" w:hAnsi="黑体" w:eastAsia="黑体"/>
              <w:szCs w:val="32"/>
            </w:rPr>
            <w:t>四、财</w:t>
          </w:r>
          <w:r>
            <w:rPr>
              <w:rFonts w:hint="eastAsia" w:ascii="黑体" w:hAnsi="黑体" w:eastAsia="黑体"/>
            </w:rPr>
            <w:t>政拨款收入支出决算总体情况说明</w:t>
          </w:r>
          <w:r>
            <w:tab/>
          </w:r>
          <w:r>
            <w:fldChar w:fldCharType="begin"/>
          </w:r>
          <w:r>
            <w:instrText xml:space="preserve"> PAGEREF _Toc23096 \h </w:instrText>
          </w:r>
          <w:r>
            <w:fldChar w:fldCharType="separate"/>
          </w:r>
          <w:r>
            <w:t>6</w:t>
          </w:r>
          <w:r>
            <w:fldChar w:fldCharType="end"/>
          </w:r>
          <w:r>
            <w:fldChar w:fldCharType="end"/>
          </w:r>
        </w:p>
        <w:p w14:paraId="306D0585">
          <w:pPr>
            <w:pStyle w:val="37"/>
            <w:tabs>
              <w:tab w:val="right" w:leader="dot" w:pos="8306"/>
            </w:tabs>
          </w:pPr>
          <w:r>
            <w:fldChar w:fldCharType="begin"/>
          </w:r>
          <w:r>
            <w:instrText xml:space="preserve"> HYPERLINK \l _Toc28401 </w:instrText>
          </w:r>
          <w:r>
            <w:fldChar w:fldCharType="separate"/>
          </w:r>
          <w:r>
            <w:rPr>
              <w:rFonts w:hint="eastAsia" w:ascii="黑体" w:hAnsi="黑体" w:eastAsia="黑体"/>
              <w:szCs w:val="32"/>
            </w:rPr>
            <w:t>五、一</w:t>
          </w:r>
          <w:r>
            <w:rPr>
              <w:rFonts w:hint="eastAsia" w:ascii="黑体" w:hAnsi="黑体" w:eastAsia="黑体"/>
            </w:rPr>
            <w:t>般公共预算财政拨款支出决算情况说明</w:t>
          </w:r>
          <w:r>
            <w:tab/>
          </w:r>
          <w:r>
            <w:fldChar w:fldCharType="begin"/>
          </w:r>
          <w:r>
            <w:instrText xml:space="preserve"> PAGEREF _Toc28401 \h </w:instrText>
          </w:r>
          <w:r>
            <w:fldChar w:fldCharType="separate"/>
          </w:r>
          <w:r>
            <w:t>6</w:t>
          </w:r>
          <w:r>
            <w:fldChar w:fldCharType="end"/>
          </w:r>
          <w:r>
            <w:fldChar w:fldCharType="end"/>
          </w:r>
        </w:p>
        <w:p w14:paraId="16B725FE">
          <w:pPr>
            <w:pStyle w:val="37"/>
            <w:tabs>
              <w:tab w:val="right" w:leader="dot" w:pos="8306"/>
            </w:tabs>
          </w:pPr>
          <w:r>
            <w:fldChar w:fldCharType="begin"/>
          </w:r>
          <w:r>
            <w:instrText xml:space="preserve"> HYPERLINK \l _Toc30026 </w:instrText>
          </w:r>
          <w:r>
            <w:fldChar w:fldCharType="separate"/>
          </w:r>
          <w:r>
            <w:rPr>
              <w:rFonts w:hint="eastAsia" w:ascii="黑体" w:eastAsia="黑体"/>
              <w:szCs w:val="32"/>
            </w:rPr>
            <w:t>六、</w:t>
          </w:r>
          <w:r>
            <w:rPr>
              <w:rFonts w:hint="eastAsia" w:ascii="黑体" w:hAnsi="黑体" w:eastAsia="黑体"/>
              <w:szCs w:val="32"/>
            </w:rPr>
            <w:t>一</w:t>
          </w:r>
          <w:r>
            <w:rPr>
              <w:rFonts w:hint="eastAsia" w:ascii="黑体" w:hAnsi="黑体" w:eastAsia="黑体"/>
            </w:rPr>
            <w:t>般公共预算财政拨款基本支出决算情况说明</w:t>
          </w:r>
          <w:r>
            <w:tab/>
          </w:r>
          <w:r>
            <w:fldChar w:fldCharType="begin"/>
          </w:r>
          <w:r>
            <w:instrText xml:space="preserve"> PAGEREF _Toc30026 \h </w:instrText>
          </w:r>
          <w:r>
            <w:fldChar w:fldCharType="separate"/>
          </w:r>
          <w:r>
            <w:t>9</w:t>
          </w:r>
          <w:r>
            <w:fldChar w:fldCharType="end"/>
          </w:r>
          <w:r>
            <w:fldChar w:fldCharType="end"/>
          </w:r>
        </w:p>
        <w:p w14:paraId="4C6FC2B8">
          <w:pPr>
            <w:pStyle w:val="37"/>
            <w:tabs>
              <w:tab w:val="right" w:leader="dot" w:pos="8306"/>
            </w:tabs>
          </w:pPr>
          <w:r>
            <w:fldChar w:fldCharType="begin"/>
          </w:r>
          <w:r>
            <w:instrText xml:space="preserve"> HYPERLINK \l _Toc9766 </w:instrText>
          </w:r>
          <w:r>
            <w:fldChar w:fldCharType="separate"/>
          </w:r>
          <w:r>
            <w:rPr>
              <w:rFonts w:hint="eastAsia" w:ascii="黑体" w:eastAsia="黑体"/>
              <w:szCs w:val="32"/>
            </w:rPr>
            <w:t>七、</w:t>
          </w:r>
          <w:r>
            <w:rPr>
              <w:rFonts w:hint="eastAsia" w:ascii="黑体" w:hAnsi="黑体" w:eastAsia="黑体"/>
            </w:rPr>
            <w:t>财政拨款“三公”经费支出决算情况说明</w:t>
          </w:r>
          <w:r>
            <w:tab/>
          </w:r>
          <w:r>
            <w:fldChar w:fldCharType="begin"/>
          </w:r>
          <w:r>
            <w:instrText xml:space="preserve"> PAGEREF _Toc9766 \h </w:instrText>
          </w:r>
          <w:r>
            <w:fldChar w:fldCharType="separate"/>
          </w:r>
          <w:r>
            <w:t>10</w:t>
          </w:r>
          <w:r>
            <w:fldChar w:fldCharType="end"/>
          </w:r>
          <w:r>
            <w:fldChar w:fldCharType="end"/>
          </w:r>
        </w:p>
        <w:p w14:paraId="0272CFA3">
          <w:pPr>
            <w:pStyle w:val="37"/>
            <w:tabs>
              <w:tab w:val="right" w:leader="dot" w:pos="8306"/>
            </w:tabs>
          </w:pPr>
          <w:r>
            <w:fldChar w:fldCharType="begin"/>
          </w:r>
          <w:r>
            <w:instrText xml:space="preserve"> HYPERLINK \l _Toc775 </w:instrText>
          </w:r>
          <w:r>
            <w:fldChar w:fldCharType="separate"/>
          </w:r>
          <w:r>
            <w:rPr>
              <w:rFonts w:hint="eastAsia" w:ascii="黑体" w:eastAsia="黑体"/>
              <w:szCs w:val="32"/>
            </w:rPr>
            <w:t>八、</w:t>
          </w:r>
          <w:r>
            <w:rPr>
              <w:rFonts w:hint="eastAsia" w:ascii="黑体" w:hAnsi="黑体" w:eastAsia="黑体"/>
            </w:rPr>
            <w:t>政府性基金预算支出决算情况说明</w:t>
          </w:r>
          <w:r>
            <w:tab/>
          </w:r>
          <w:r>
            <w:fldChar w:fldCharType="begin"/>
          </w:r>
          <w:r>
            <w:instrText xml:space="preserve"> PAGEREF _Toc775 \h </w:instrText>
          </w:r>
          <w:r>
            <w:fldChar w:fldCharType="separate"/>
          </w:r>
          <w:r>
            <w:t>12</w:t>
          </w:r>
          <w:r>
            <w:fldChar w:fldCharType="end"/>
          </w:r>
          <w:r>
            <w:fldChar w:fldCharType="end"/>
          </w:r>
        </w:p>
        <w:p w14:paraId="20945385">
          <w:pPr>
            <w:pStyle w:val="37"/>
            <w:tabs>
              <w:tab w:val="right" w:leader="dot" w:pos="8306"/>
            </w:tabs>
          </w:pPr>
          <w:r>
            <w:fldChar w:fldCharType="begin"/>
          </w:r>
          <w:r>
            <w:instrText xml:space="preserve"> HYPERLINK \l _Toc26168 </w:instrText>
          </w:r>
          <w:r>
            <w:fldChar w:fldCharType="separate"/>
          </w:r>
          <w:r>
            <w:rPr>
              <w:rFonts w:hint="eastAsia" w:ascii="黑体" w:hAnsi="黑体" w:eastAsia="黑体"/>
            </w:rPr>
            <w:t>九、 国有资本经营预算支出决算情况说明</w:t>
          </w:r>
          <w:r>
            <w:tab/>
          </w:r>
          <w:r>
            <w:fldChar w:fldCharType="begin"/>
          </w:r>
          <w:r>
            <w:instrText xml:space="preserve"> PAGEREF _Toc26168 \h </w:instrText>
          </w:r>
          <w:r>
            <w:fldChar w:fldCharType="separate"/>
          </w:r>
          <w:r>
            <w:t>12</w:t>
          </w:r>
          <w:r>
            <w:fldChar w:fldCharType="end"/>
          </w:r>
          <w:r>
            <w:fldChar w:fldCharType="end"/>
          </w:r>
        </w:p>
        <w:p w14:paraId="1B832132">
          <w:pPr>
            <w:pStyle w:val="37"/>
            <w:tabs>
              <w:tab w:val="right" w:leader="dot" w:pos="8306"/>
            </w:tabs>
          </w:pPr>
          <w:r>
            <w:fldChar w:fldCharType="begin"/>
          </w:r>
          <w:r>
            <w:instrText xml:space="preserve"> HYPERLINK \l _Toc13980 </w:instrText>
          </w:r>
          <w:r>
            <w:fldChar w:fldCharType="separate"/>
          </w:r>
          <w:r>
            <w:rPr>
              <w:rFonts w:hint="eastAsia" w:ascii="黑体" w:hAnsi="黑体" w:eastAsia="黑体"/>
            </w:rPr>
            <w:t>十、 其他重要事项的情况说明</w:t>
          </w:r>
          <w:r>
            <w:tab/>
          </w:r>
          <w:r>
            <w:fldChar w:fldCharType="begin"/>
          </w:r>
          <w:r>
            <w:instrText xml:space="preserve"> PAGEREF _Toc13980 \h </w:instrText>
          </w:r>
          <w:r>
            <w:fldChar w:fldCharType="separate"/>
          </w:r>
          <w:r>
            <w:t>12</w:t>
          </w:r>
          <w:r>
            <w:fldChar w:fldCharType="end"/>
          </w:r>
          <w:r>
            <w:fldChar w:fldCharType="end"/>
          </w:r>
        </w:p>
        <w:p w14:paraId="1E863126">
          <w:pPr>
            <w:pStyle w:val="36"/>
            <w:tabs>
              <w:tab w:val="right" w:leader="dot" w:pos="8306"/>
            </w:tabs>
            <w:rPr>
              <w:b/>
            </w:rPr>
          </w:pPr>
          <w:r>
            <w:rPr>
              <w:b/>
            </w:rPr>
            <w:fldChar w:fldCharType="begin"/>
          </w:r>
          <w:r>
            <w:rPr>
              <w:b/>
            </w:rPr>
            <w:instrText xml:space="preserve"> HYPERLINK \l _Toc24891 </w:instrText>
          </w:r>
          <w:r>
            <w:rPr>
              <w:b/>
            </w:rPr>
            <w:fldChar w:fldCharType="separate"/>
          </w:r>
          <w:r>
            <w:rPr>
              <w:rFonts w:hint="eastAsia" w:ascii="黑体" w:hAnsi="黑体" w:eastAsia="黑体" w:cs="黑体"/>
              <w:b/>
              <w:szCs w:val="44"/>
            </w:rPr>
            <w:t xml:space="preserve">第三部分 </w:t>
          </w:r>
          <w:r>
            <w:rPr>
              <w:rFonts w:hint="eastAsia" w:ascii="黑体" w:hAnsi="黑体" w:eastAsia="黑体"/>
              <w:b/>
              <w:szCs w:val="44"/>
            </w:rPr>
            <w:t>名</w:t>
          </w:r>
          <w:r>
            <w:rPr>
              <w:rFonts w:hint="eastAsia" w:ascii="黑体" w:hAnsi="黑体" w:eastAsia="黑体"/>
              <w:b/>
            </w:rPr>
            <w:t>词解释</w:t>
          </w:r>
          <w:r>
            <w:rPr>
              <w:b/>
            </w:rPr>
            <w:tab/>
          </w:r>
          <w:r>
            <w:rPr>
              <w:b/>
            </w:rPr>
            <w:fldChar w:fldCharType="begin"/>
          </w:r>
          <w:r>
            <w:rPr>
              <w:b/>
            </w:rPr>
            <w:instrText xml:space="preserve"> PAGEREF _Toc24891 \h </w:instrText>
          </w:r>
          <w:r>
            <w:rPr>
              <w:b/>
            </w:rPr>
            <w:fldChar w:fldCharType="separate"/>
          </w:r>
          <w:r>
            <w:rPr>
              <w:b/>
            </w:rPr>
            <w:t>14</w:t>
          </w:r>
          <w:r>
            <w:rPr>
              <w:b/>
            </w:rPr>
            <w:fldChar w:fldCharType="end"/>
          </w:r>
          <w:r>
            <w:rPr>
              <w:b/>
            </w:rPr>
            <w:fldChar w:fldCharType="end"/>
          </w:r>
        </w:p>
        <w:p w14:paraId="4EBAA3E7">
          <w:pPr>
            <w:pStyle w:val="36"/>
            <w:tabs>
              <w:tab w:val="right" w:leader="dot" w:pos="8306"/>
            </w:tabs>
            <w:rPr>
              <w:b/>
            </w:rPr>
          </w:pPr>
          <w:r>
            <w:rPr>
              <w:b/>
            </w:rPr>
            <w:fldChar w:fldCharType="begin"/>
          </w:r>
          <w:r>
            <w:rPr>
              <w:b/>
            </w:rPr>
            <w:instrText xml:space="preserve"> HYPERLINK \l _Toc10860 </w:instrText>
          </w:r>
          <w:r>
            <w:rPr>
              <w:b/>
            </w:rPr>
            <w:fldChar w:fldCharType="separate"/>
          </w:r>
          <w:r>
            <w:rPr>
              <w:rFonts w:hint="eastAsia" w:ascii="黑体" w:hAnsi="黑体" w:eastAsia="黑体"/>
              <w:b/>
              <w:szCs w:val="44"/>
            </w:rPr>
            <w:t>第</w:t>
          </w:r>
          <w:r>
            <w:rPr>
              <w:rFonts w:hint="eastAsia" w:ascii="黑体" w:hAnsi="黑体" w:eastAsia="黑体"/>
              <w:b/>
            </w:rPr>
            <w:t>四部分 附件</w:t>
          </w:r>
          <w:r>
            <w:rPr>
              <w:b/>
            </w:rPr>
            <w:tab/>
          </w:r>
          <w:r>
            <w:rPr>
              <w:b/>
            </w:rPr>
            <w:fldChar w:fldCharType="begin"/>
          </w:r>
          <w:r>
            <w:rPr>
              <w:b/>
            </w:rPr>
            <w:instrText xml:space="preserve"> PAGEREF _Toc10860 \h </w:instrText>
          </w:r>
          <w:r>
            <w:rPr>
              <w:b/>
            </w:rPr>
            <w:fldChar w:fldCharType="separate"/>
          </w:r>
          <w:r>
            <w:rPr>
              <w:b/>
            </w:rPr>
            <w:t>17</w:t>
          </w:r>
          <w:r>
            <w:rPr>
              <w:b/>
            </w:rPr>
            <w:fldChar w:fldCharType="end"/>
          </w:r>
          <w:r>
            <w:rPr>
              <w:b/>
            </w:rPr>
            <w:fldChar w:fldCharType="end"/>
          </w:r>
        </w:p>
        <w:p w14:paraId="696C4627">
          <w:pPr>
            <w:pStyle w:val="37"/>
            <w:tabs>
              <w:tab w:val="right" w:leader="dot" w:pos="8306"/>
            </w:tabs>
            <w:rPr>
              <w:rFonts w:hint="eastAsia" w:eastAsiaTheme="minorEastAsia"/>
              <w:lang w:val="en-US" w:eastAsia="zh-CN"/>
            </w:rPr>
          </w:pPr>
          <w:r>
            <w:fldChar w:fldCharType="begin"/>
          </w:r>
          <w:r>
            <w:instrText xml:space="preserve"> HYPERLINK \l _Toc16047 </w:instrText>
          </w:r>
          <w:r>
            <w:fldChar w:fldCharType="separate"/>
          </w:r>
          <w:r>
            <w:rPr>
              <w:rFonts w:hint="eastAsia"/>
              <w:szCs w:val="32"/>
            </w:rPr>
            <w:t>部门预算项目支出绩效自评表（2023年度）</w:t>
          </w:r>
          <w:r>
            <w:tab/>
          </w:r>
          <w:r>
            <w:rPr>
              <w:rFonts w:hint="eastAsia"/>
              <w:lang w:val="en-US" w:eastAsia="zh-CN"/>
            </w:rPr>
            <w:t>1</w:t>
          </w:r>
          <w:r>
            <w:fldChar w:fldCharType="end"/>
          </w:r>
          <w:r>
            <w:rPr>
              <w:rFonts w:hint="eastAsia"/>
              <w:lang w:val="en-US" w:eastAsia="zh-CN"/>
            </w:rPr>
            <w:t>7</w:t>
          </w:r>
        </w:p>
        <w:p w14:paraId="48DF4A66">
          <w:pPr>
            <w:pStyle w:val="36"/>
            <w:tabs>
              <w:tab w:val="right" w:leader="dot" w:pos="8306"/>
            </w:tabs>
            <w:rPr>
              <w:b/>
            </w:rPr>
          </w:pPr>
          <w:r>
            <w:rPr>
              <w:b/>
            </w:rPr>
            <w:fldChar w:fldCharType="begin"/>
          </w:r>
          <w:r>
            <w:rPr>
              <w:b/>
            </w:rPr>
            <w:instrText xml:space="preserve"> HYPERLINK \l _Toc4144 </w:instrText>
          </w:r>
          <w:r>
            <w:rPr>
              <w:b/>
            </w:rPr>
            <w:fldChar w:fldCharType="separate"/>
          </w:r>
          <w:r>
            <w:rPr>
              <w:rFonts w:hint="eastAsia" w:ascii="黑体" w:hAnsi="黑体" w:eastAsia="黑体"/>
              <w:b/>
              <w:szCs w:val="44"/>
            </w:rPr>
            <w:t>第</w:t>
          </w:r>
          <w:r>
            <w:rPr>
              <w:rFonts w:hint="eastAsia" w:ascii="黑体" w:hAnsi="黑体" w:eastAsia="黑体"/>
              <w:b/>
            </w:rPr>
            <w:t>五部分 附表</w:t>
          </w:r>
          <w:r>
            <w:rPr>
              <w:b/>
            </w:rPr>
            <w:tab/>
          </w:r>
          <w:r>
            <w:rPr>
              <w:b/>
            </w:rPr>
            <w:fldChar w:fldCharType="begin"/>
          </w:r>
          <w:r>
            <w:rPr>
              <w:b/>
            </w:rPr>
            <w:instrText xml:space="preserve"> PAGEREF _Toc4144 \h </w:instrText>
          </w:r>
          <w:r>
            <w:rPr>
              <w:b/>
            </w:rPr>
            <w:fldChar w:fldCharType="separate"/>
          </w:r>
          <w:r>
            <w:rPr>
              <w:b/>
            </w:rPr>
            <w:t>36</w:t>
          </w:r>
          <w:r>
            <w:rPr>
              <w:b/>
            </w:rPr>
            <w:fldChar w:fldCharType="end"/>
          </w:r>
          <w:r>
            <w:rPr>
              <w:b/>
            </w:rPr>
            <w:fldChar w:fldCharType="end"/>
          </w:r>
        </w:p>
        <w:p w14:paraId="7C3AB589">
          <w:pPr>
            <w:pStyle w:val="37"/>
            <w:tabs>
              <w:tab w:val="right" w:leader="dot" w:pos="8306"/>
            </w:tabs>
          </w:pPr>
          <w:r>
            <w:fldChar w:fldCharType="begin"/>
          </w:r>
          <w:r>
            <w:instrText xml:space="preserve"> HYPERLINK \l _Toc32445 </w:instrText>
          </w:r>
          <w:r>
            <w:fldChar w:fldCharType="separate"/>
          </w:r>
          <w:r>
            <w:rPr>
              <w:rFonts w:hint="eastAsia" w:ascii="仿宋" w:hAnsi="仿宋" w:eastAsia="仿宋"/>
            </w:rPr>
            <w:t>一、收</w:t>
          </w:r>
          <w:r>
            <w:rPr>
              <w:rFonts w:hint="eastAsia" w:ascii="仿宋" w:hAnsi="仿宋" w:eastAsia="仿宋"/>
              <w:bCs w:val="0"/>
            </w:rPr>
            <w:t>入支出决算总表</w:t>
          </w:r>
          <w:r>
            <w:tab/>
          </w:r>
          <w:r>
            <w:fldChar w:fldCharType="begin"/>
          </w:r>
          <w:r>
            <w:instrText xml:space="preserve"> PAGEREF _Toc32445 \h </w:instrText>
          </w:r>
          <w:r>
            <w:fldChar w:fldCharType="separate"/>
          </w:r>
          <w:r>
            <w:t>36</w:t>
          </w:r>
          <w:r>
            <w:fldChar w:fldCharType="end"/>
          </w:r>
          <w:r>
            <w:fldChar w:fldCharType="end"/>
          </w:r>
        </w:p>
        <w:p w14:paraId="3B4EE037">
          <w:pPr>
            <w:pStyle w:val="37"/>
            <w:tabs>
              <w:tab w:val="right" w:leader="dot" w:pos="8306"/>
            </w:tabs>
          </w:pPr>
          <w:r>
            <w:fldChar w:fldCharType="begin"/>
          </w:r>
          <w:r>
            <w:instrText xml:space="preserve"> HYPERLINK \l _Toc8215 </w:instrText>
          </w:r>
          <w:r>
            <w:fldChar w:fldCharType="separate"/>
          </w:r>
          <w:r>
            <w:rPr>
              <w:rFonts w:hint="eastAsia" w:ascii="仿宋" w:hAnsi="仿宋" w:eastAsia="仿宋"/>
            </w:rPr>
            <w:t>二、收</w:t>
          </w:r>
          <w:r>
            <w:rPr>
              <w:rFonts w:hint="eastAsia" w:ascii="仿宋" w:hAnsi="仿宋" w:eastAsia="仿宋"/>
              <w:bCs w:val="0"/>
            </w:rPr>
            <w:t>入决算表</w:t>
          </w:r>
          <w:r>
            <w:tab/>
          </w:r>
          <w:r>
            <w:fldChar w:fldCharType="begin"/>
          </w:r>
          <w:r>
            <w:instrText xml:space="preserve"> PAGEREF _Toc8215 \h </w:instrText>
          </w:r>
          <w:r>
            <w:fldChar w:fldCharType="separate"/>
          </w:r>
          <w:r>
            <w:t>36</w:t>
          </w:r>
          <w:r>
            <w:fldChar w:fldCharType="end"/>
          </w:r>
          <w:r>
            <w:fldChar w:fldCharType="end"/>
          </w:r>
        </w:p>
        <w:p w14:paraId="7A8B532D">
          <w:pPr>
            <w:pStyle w:val="37"/>
            <w:tabs>
              <w:tab w:val="right" w:leader="dot" w:pos="8306"/>
            </w:tabs>
          </w:pPr>
          <w:r>
            <w:fldChar w:fldCharType="begin"/>
          </w:r>
          <w:r>
            <w:instrText xml:space="preserve"> HYPERLINK \l _Toc29302 </w:instrText>
          </w:r>
          <w:r>
            <w:fldChar w:fldCharType="separate"/>
          </w:r>
          <w:r>
            <w:rPr>
              <w:rFonts w:hint="eastAsia" w:ascii="仿宋" w:hAnsi="仿宋" w:eastAsia="仿宋"/>
              <w:bCs w:val="0"/>
            </w:rPr>
            <w:t>三、</w:t>
          </w:r>
          <w:r>
            <w:rPr>
              <w:rFonts w:hint="eastAsia" w:ascii="仿宋" w:hAnsi="仿宋" w:eastAsia="仿宋"/>
            </w:rPr>
            <w:t>支</w:t>
          </w:r>
          <w:r>
            <w:rPr>
              <w:rFonts w:hint="eastAsia" w:ascii="仿宋" w:hAnsi="仿宋" w:eastAsia="仿宋"/>
              <w:bCs w:val="0"/>
            </w:rPr>
            <w:t>出决算表</w:t>
          </w:r>
          <w:r>
            <w:tab/>
          </w:r>
          <w:r>
            <w:fldChar w:fldCharType="begin"/>
          </w:r>
          <w:r>
            <w:instrText xml:space="preserve"> PAGEREF _Toc29302 \h </w:instrText>
          </w:r>
          <w:r>
            <w:fldChar w:fldCharType="separate"/>
          </w:r>
          <w:r>
            <w:t>36</w:t>
          </w:r>
          <w:r>
            <w:fldChar w:fldCharType="end"/>
          </w:r>
          <w:r>
            <w:fldChar w:fldCharType="end"/>
          </w:r>
        </w:p>
        <w:p w14:paraId="7215C988">
          <w:pPr>
            <w:pStyle w:val="37"/>
            <w:tabs>
              <w:tab w:val="right" w:leader="dot" w:pos="8306"/>
            </w:tabs>
          </w:pPr>
          <w:r>
            <w:fldChar w:fldCharType="begin"/>
          </w:r>
          <w:r>
            <w:instrText xml:space="preserve"> HYPERLINK \l _Toc8128 </w:instrText>
          </w:r>
          <w:r>
            <w:fldChar w:fldCharType="separate"/>
          </w:r>
          <w:r>
            <w:rPr>
              <w:rFonts w:hint="eastAsia" w:ascii="仿宋" w:hAnsi="仿宋" w:eastAsia="仿宋"/>
              <w:bCs w:val="0"/>
            </w:rPr>
            <w:t>四、</w:t>
          </w:r>
          <w:r>
            <w:rPr>
              <w:rFonts w:hint="eastAsia" w:ascii="仿宋" w:hAnsi="仿宋" w:eastAsia="仿宋"/>
            </w:rPr>
            <w:t>财</w:t>
          </w:r>
          <w:r>
            <w:rPr>
              <w:rFonts w:hint="eastAsia" w:ascii="仿宋" w:hAnsi="仿宋" w:eastAsia="仿宋"/>
              <w:bCs w:val="0"/>
            </w:rPr>
            <w:t>政拨款收入支出决算总表</w:t>
          </w:r>
          <w:r>
            <w:tab/>
          </w:r>
          <w:r>
            <w:fldChar w:fldCharType="begin"/>
          </w:r>
          <w:r>
            <w:instrText xml:space="preserve"> PAGEREF _Toc8128 \h </w:instrText>
          </w:r>
          <w:r>
            <w:fldChar w:fldCharType="separate"/>
          </w:r>
          <w:r>
            <w:t>36</w:t>
          </w:r>
          <w:r>
            <w:fldChar w:fldCharType="end"/>
          </w:r>
          <w:r>
            <w:fldChar w:fldCharType="end"/>
          </w:r>
        </w:p>
        <w:p w14:paraId="456C7D1C">
          <w:pPr>
            <w:pStyle w:val="37"/>
            <w:tabs>
              <w:tab w:val="right" w:leader="dot" w:pos="8306"/>
            </w:tabs>
          </w:pPr>
          <w:r>
            <w:fldChar w:fldCharType="begin"/>
          </w:r>
          <w:r>
            <w:instrText xml:space="preserve"> HYPERLINK \l _Toc5026 </w:instrText>
          </w:r>
          <w:r>
            <w:fldChar w:fldCharType="separate"/>
          </w:r>
          <w:r>
            <w:rPr>
              <w:rFonts w:hint="eastAsia" w:ascii="仿宋" w:hAnsi="仿宋" w:eastAsia="仿宋"/>
              <w:bCs w:val="0"/>
            </w:rPr>
            <w:t>五、</w:t>
          </w:r>
          <w:r>
            <w:rPr>
              <w:rFonts w:hint="eastAsia" w:ascii="仿宋" w:hAnsi="仿宋" w:eastAsia="仿宋"/>
            </w:rPr>
            <w:t>财</w:t>
          </w:r>
          <w:r>
            <w:rPr>
              <w:rFonts w:hint="eastAsia" w:ascii="仿宋" w:hAnsi="仿宋" w:eastAsia="仿宋"/>
              <w:bCs w:val="0"/>
            </w:rPr>
            <w:t>政拨款支出决算明细表</w:t>
          </w:r>
          <w:r>
            <w:tab/>
          </w:r>
          <w:r>
            <w:fldChar w:fldCharType="begin"/>
          </w:r>
          <w:r>
            <w:instrText xml:space="preserve"> PAGEREF _Toc5026 \h </w:instrText>
          </w:r>
          <w:r>
            <w:fldChar w:fldCharType="separate"/>
          </w:r>
          <w:r>
            <w:t>36</w:t>
          </w:r>
          <w:r>
            <w:fldChar w:fldCharType="end"/>
          </w:r>
          <w:r>
            <w:fldChar w:fldCharType="end"/>
          </w:r>
        </w:p>
        <w:p w14:paraId="6896AFE2">
          <w:pPr>
            <w:pStyle w:val="37"/>
            <w:tabs>
              <w:tab w:val="right" w:leader="dot" w:pos="8306"/>
            </w:tabs>
          </w:pPr>
          <w:r>
            <w:fldChar w:fldCharType="begin"/>
          </w:r>
          <w:r>
            <w:instrText xml:space="preserve"> HYPERLINK \l _Toc18926 </w:instrText>
          </w:r>
          <w:r>
            <w:fldChar w:fldCharType="separate"/>
          </w:r>
          <w:r>
            <w:rPr>
              <w:rFonts w:hint="eastAsia" w:ascii="仿宋" w:hAnsi="仿宋" w:eastAsia="仿宋"/>
              <w:bCs w:val="0"/>
            </w:rPr>
            <w:t>六、</w:t>
          </w:r>
          <w:r>
            <w:rPr>
              <w:rFonts w:hint="eastAsia" w:ascii="仿宋" w:hAnsi="仿宋" w:eastAsia="仿宋"/>
            </w:rPr>
            <w:t>一</w:t>
          </w:r>
          <w:r>
            <w:rPr>
              <w:rFonts w:hint="eastAsia" w:ascii="仿宋" w:hAnsi="仿宋" w:eastAsia="仿宋"/>
              <w:bCs w:val="0"/>
            </w:rPr>
            <w:t>般公共预算财政拨款支出决算表</w:t>
          </w:r>
          <w:r>
            <w:tab/>
          </w:r>
          <w:r>
            <w:fldChar w:fldCharType="begin"/>
          </w:r>
          <w:r>
            <w:instrText xml:space="preserve"> PAGEREF _Toc18926 \h </w:instrText>
          </w:r>
          <w:r>
            <w:fldChar w:fldCharType="separate"/>
          </w:r>
          <w:r>
            <w:t>36</w:t>
          </w:r>
          <w:r>
            <w:fldChar w:fldCharType="end"/>
          </w:r>
          <w:r>
            <w:fldChar w:fldCharType="end"/>
          </w:r>
        </w:p>
        <w:p w14:paraId="5BBAED47">
          <w:pPr>
            <w:pStyle w:val="37"/>
            <w:tabs>
              <w:tab w:val="right" w:leader="dot" w:pos="8306"/>
            </w:tabs>
          </w:pPr>
          <w:r>
            <w:fldChar w:fldCharType="begin"/>
          </w:r>
          <w:r>
            <w:instrText xml:space="preserve"> HYPERLINK \l _Toc8613 </w:instrText>
          </w:r>
          <w:r>
            <w:fldChar w:fldCharType="separate"/>
          </w:r>
          <w:r>
            <w:rPr>
              <w:rFonts w:hint="eastAsia" w:ascii="仿宋" w:hAnsi="仿宋" w:eastAsia="仿宋"/>
              <w:bCs w:val="0"/>
            </w:rPr>
            <w:t>七、</w:t>
          </w:r>
          <w:r>
            <w:rPr>
              <w:rFonts w:hint="eastAsia" w:ascii="仿宋" w:hAnsi="仿宋" w:eastAsia="仿宋"/>
            </w:rPr>
            <w:t>一</w:t>
          </w:r>
          <w:r>
            <w:rPr>
              <w:rFonts w:hint="eastAsia" w:ascii="仿宋" w:hAnsi="仿宋" w:eastAsia="仿宋"/>
              <w:bCs w:val="0"/>
            </w:rPr>
            <w:t>般公共预算财政拨款支出决算明细表</w:t>
          </w:r>
          <w:r>
            <w:tab/>
          </w:r>
          <w:r>
            <w:fldChar w:fldCharType="begin"/>
          </w:r>
          <w:r>
            <w:instrText xml:space="preserve"> PAGEREF _Toc8613 \h </w:instrText>
          </w:r>
          <w:r>
            <w:fldChar w:fldCharType="separate"/>
          </w:r>
          <w:r>
            <w:t>36</w:t>
          </w:r>
          <w:r>
            <w:fldChar w:fldCharType="end"/>
          </w:r>
          <w:r>
            <w:fldChar w:fldCharType="end"/>
          </w:r>
        </w:p>
        <w:p w14:paraId="4EF2CE62">
          <w:pPr>
            <w:pStyle w:val="37"/>
            <w:tabs>
              <w:tab w:val="right" w:leader="dot" w:pos="8306"/>
            </w:tabs>
          </w:pPr>
          <w:r>
            <w:fldChar w:fldCharType="begin"/>
          </w:r>
          <w:r>
            <w:instrText xml:space="preserve"> HYPERLINK \l _Toc22876 </w:instrText>
          </w:r>
          <w:r>
            <w:fldChar w:fldCharType="separate"/>
          </w:r>
          <w:r>
            <w:rPr>
              <w:rFonts w:hint="eastAsia" w:ascii="仿宋" w:hAnsi="仿宋" w:eastAsia="仿宋"/>
              <w:bCs w:val="0"/>
            </w:rPr>
            <w:t>八、</w:t>
          </w:r>
          <w:r>
            <w:rPr>
              <w:rFonts w:hint="eastAsia" w:ascii="仿宋" w:hAnsi="仿宋" w:eastAsia="仿宋"/>
            </w:rPr>
            <w:t>一</w:t>
          </w:r>
          <w:r>
            <w:rPr>
              <w:rFonts w:hint="eastAsia" w:ascii="仿宋" w:hAnsi="仿宋" w:eastAsia="仿宋"/>
              <w:bCs w:val="0"/>
            </w:rPr>
            <w:t>般公共预算财政拨款基本支出决算表</w:t>
          </w:r>
          <w:r>
            <w:tab/>
          </w:r>
          <w:r>
            <w:fldChar w:fldCharType="begin"/>
          </w:r>
          <w:r>
            <w:instrText xml:space="preserve"> PAGEREF _Toc22876 \h </w:instrText>
          </w:r>
          <w:r>
            <w:fldChar w:fldCharType="separate"/>
          </w:r>
          <w:r>
            <w:t>36</w:t>
          </w:r>
          <w:r>
            <w:fldChar w:fldCharType="end"/>
          </w:r>
          <w:r>
            <w:fldChar w:fldCharType="end"/>
          </w:r>
        </w:p>
        <w:p w14:paraId="73648FBA">
          <w:pPr>
            <w:pStyle w:val="37"/>
            <w:tabs>
              <w:tab w:val="right" w:leader="dot" w:pos="8306"/>
            </w:tabs>
          </w:pPr>
          <w:r>
            <w:fldChar w:fldCharType="begin"/>
          </w:r>
          <w:r>
            <w:instrText xml:space="preserve"> HYPERLINK \l _Toc10643 </w:instrText>
          </w:r>
          <w:r>
            <w:fldChar w:fldCharType="separate"/>
          </w:r>
          <w:r>
            <w:rPr>
              <w:rFonts w:hint="eastAsia" w:ascii="仿宋" w:hAnsi="仿宋" w:eastAsia="仿宋"/>
              <w:bCs w:val="0"/>
            </w:rPr>
            <w:t>九、</w:t>
          </w:r>
          <w:r>
            <w:rPr>
              <w:rFonts w:hint="eastAsia" w:ascii="仿宋" w:hAnsi="仿宋" w:eastAsia="仿宋"/>
            </w:rPr>
            <w:t>一</w:t>
          </w:r>
          <w:r>
            <w:rPr>
              <w:rFonts w:hint="eastAsia" w:ascii="仿宋" w:hAnsi="仿宋" w:eastAsia="仿宋"/>
              <w:bCs w:val="0"/>
            </w:rPr>
            <w:t>般公共预算财政拨款项目支出决算表</w:t>
          </w:r>
          <w:r>
            <w:tab/>
          </w:r>
          <w:r>
            <w:fldChar w:fldCharType="begin"/>
          </w:r>
          <w:r>
            <w:instrText xml:space="preserve"> PAGEREF _Toc10643 \h </w:instrText>
          </w:r>
          <w:r>
            <w:fldChar w:fldCharType="separate"/>
          </w:r>
          <w:r>
            <w:t>36</w:t>
          </w:r>
          <w:r>
            <w:fldChar w:fldCharType="end"/>
          </w:r>
          <w:r>
            <w:fldChar w:fldCharType="end"/>
          </w:r>
        </w:p>
        <w:p w14:paraId="6B4F7C64">
          <w:pPr>
            <w:pStyle w:val="37"/>
            <w:tabs>
              <w:tab w:val="right" w:leader="dot" w:pos="8306"/>
            </w:tabs>
          </w:pPr>
          <w:r>
            <w:fldChar w:fldCharType="begin"/>
          </w:r>
          <w:r>
            <w:instrText xml:space="preserve"> HYPERLINK \l _Toc30475 </w:instrText>
          </w:r>
          <w:r>
            <w:fldChar w:fldCharType="separate"/>
          </w:r>
          <w:r>
            <w:rPr>
              <w:rFonts w:hint="eastAsia" w:ascii="仿宋" w:hAnsi="仿宋" w:eastAsia="仿宋"/>
              <w:bCs w:val="0"/>
            </w:rPr>
            <w:t>十、</w:t>
          </w:r>
          <w:r>
            <w:rPr>
              <w:rFonts w:hint="eastAsia" w:ascii="仿宋" w:hAnsi="仿宋" w:eastAsia="仿宋"/>
            </w:rPr>
            <w:t>政</w:t>
          </w:r>
          <w:r>
            <w:rPr>
              <w:rFonts w:hint="eastAsia" w:ascii="仿宋" w:hAnsi="仿宋" w:eastAsia="仿宋"/>
              <w:bCs w:val="0"/>
            </w:rPr>
            <w:t>府性基金预算财政拨款收入支出决算表</w:t>
          </w:r>
          <w:r>
            <w:tab/>
          </w:r>
          <w:r>
            <w:fldChar w:fldCharType="begin"/>
          </w:r>
          <w:r>
            <w:instrText xml:space="preserve"> PAGEREF _Toc30475 \h </w:instrText>
          </w:r>
          <w:r>
            <w:fldChar w:fldCharType="separate"/>
          </w:r>
          <w:r>
            <w:t>36</w:t>
          </w:r>
          <w:r>
            <w:fldChar w:fldCharType="end"/>
          </w:r>
          <w:r>
            <w:fldChar w:fldCharType="end"/>
          </w:r>
        </w:p>
        <w:p w14:paraId="5528C991">
          <w:pPr>
            <w:pStyle w:val="37"/>
            <w:tabs>
              <w:tab w:val="right" w:leader="dot" w:pos="8306"/>
            </w:tabs>
          </w:pPr>
          <w:r>
            <w:fldChar w:fldCharType="begin"/>
          </w:r>
          <w:r>
            <w:instrText xml:space="preserve"> HYPERLINK \l _Toc10169 </w:instrText>
          </w:r>
          <w:r>
            <w:fldChar w:fldCharType="separate"/>
          </w:r>
          <w:r>
            <w:rPr>
              <w:rFonts w:hint="eastAsia" w:ascii="仿宋" w:hAnsi="仿宋" w:eastAsia="仿宋"/>
              <w:bCs w:val="0"/>
            </w:rPr>
            <w:t>十一、</w:t>
          </w:r>
          <w:r>
            <w:rPr>
              <w:rFonts w:hint="eastAsia" w:ascii="仿宋" w:hAnsi="仿宋" w:eastAsia="仿宋"/>
            </w:rPr>
            <w:t>国</w:t>
          </w:r>
          <w:r>
            <w:rPr>
              <w:rFonts w:hint="eastAsia" w:ascii="仿宋" w:hAnsi="仿宋" w:eastAsia="仿宋"/>
              <w:bCs w:val="0"/>
            </w:rPr>
            <w:t>有资本经营预算财政拨款收入支出决算表</w:t>
          </w:r>
          <w:r>
            <w:tab/>
          </w:r>
          <w:r>
            <w:fldChar w:fldCharType="begin"/>
          </w:r>
          <w:r>
            <w:instrText xml:space="preserve"> PAGEREF _Toc10169 \h </w:instrText>
          </w:r>
          <w:r>
            <w:fldChar w:fldCharType="separate"/>
          </w:r>
          <w:r>
            <w:t>36</w:t>
          </w:r>
          <w:r>
            <w:fldChar w:fldCharType="end"/>
          </w:r>
          <w:r>
            <w:fldChar w:fldCharType="end"/>
          </w:r>
        </w:p>
        <w:p w14:paraId="53AEF7FE">
          <w:pPr>
            <w:pStyle w:val="37"/>
            <w:tabs>
              <w:tab w:val="right" w:leader="dot" w:pos="8306"/>
            </w:tabs>
          </w:pPr>
          <w:r>
            <w:fldChar w:fldCharType="begin"/>
          </w:r>
          <w:r>
            <w:instrText xml:space="preserve"> HYPERLINK \l _Toc4127 </w:instrText>
          </w:r>
          <w:r>
            <w:fldChar w:fldCharType="separate"/>
          </w:r>
          <w:r>
            <w:rPr>
              <w:rFonts w:hint="eastAsia" w:ascii="仿宋" w:hAnsi="仿宋" w:eastAsia="仿宋"/>
              <w:bCs w:val="0"/>
            </w:rPr>
            <w:t>十二、国有资本经营预算财政拨款支出决算表</w:t>
          </w:r>
          <w:r>
            <w:tab/>
          </w:r>
          <w:r>
            <w:fldChar w:fldCharType="begin"/>
          </w:r>
          <w:r>
            <w:instrText xml:space="preserve"> PAGEREF _Toc4127 \h </w:instrText>
          </w:r>
          <w:r>
            <w:fldChar w:fldCharType="separate"/>
          </w:r>
          <w:r>
            <w:t>36</w:t>
          </w:r>
          <w:r>
            <w:fldChar w:fldCharType="end"/>
          </w:r>
          <w:r>
            <w:fldChar w:fldCharType="end"/>
          </w:r>
        </w:p>
        <w:p w14:paraId="3412F0AD">
          <w:pPr>
            <w:pStyle w:val="37"/>
            <w:tabs>
              <w:tab w:val="right" w:leader="dot" w:pos="8306"/>
            </w:tabs>
          </w:pPr>
          <w:r>
            <w:fldChar w:fldCharType="begin"/>
          </w:r>
          <w:r>
            <w:instrText xml:space="preserve"> HYPERLINK \l _Toc22158 </w:instrText>
          </w:r>
          <w:r>
            <w:fldChar w:fldCharType="separate"/>
          </w:r>
          <w:r>
            <w:rPr>
              <w:rFonts w:hint="eastAsia" w:ascii="仿宋" w:hAnsi="仿宋" w:eastAsia="仿宋"/>
              <w:bCs w:val="0"/>
            </w:rPr>
            <w:t>十三、财政拨款“三公”经费支出决算表</w:t>
          </w:r>
          <w:r>
            <w:tab/>
          </w:r>
          <w:r>
            <w:fldChar w:fldCharType="begin"/>
          </w:r>
          <w:r>
            <w:instrText xml:space="preserve"> PAGEREF _Toc22158 \h </w:instrText>
          </w:r>
          <w:r>
            <w:fldChar w:fldCharType="separate"/>
          </w:r>
          <w:r>
            <w:t>36</w:t>
          </w:r>
          <w:r>
            <w:fldChar w:fldCharType="end"/>
          </w:r>
          <w:r>
            <w:fldChar w:fldCharType="end"/>
          </w:r>
        </w:p>
        <w:p w14:paraId="4116A512">
          <w:pPr>
            <w:rPr>
              <w:b/>
            </w:rPr>
          </w:pPr>
          <w:r>
            <w:rPr>
              <w:b/>
            </w:rPr>
            <w:fldChar w:fldCharType="end"/>
          </w:r>
        </w:p>
      </w:sdtContent>
    </w:sdt>
    <w:p w14:paraId="5DC1FC53">
      <w:pPr>
        <w:rPr>
          <w:b/>
        </w:rPr>
      </w:pPr>
    </w:p>
    <w:p w14:paraId="180A5BC0">
      <w:pPr>
        <w:pStyle w:val="3"/>
        <w:jc w:val="center"/>
        <w:rPr>
          <w:rStyle w:val="30"/>
          <w:rFonts w:ascii="黑体" w:hAnsi="黑体" w:eastAsia="黑体"/>
          <w:b/>
          <w:bCs w:val="0"/>
        </w:rPr>
      </w:pPr>
      <w:bookmarkStart w:id="16" w:name="_Toc25066"/>
      <w:r>
        <w:rPr>
          <w:rFonts w:hint="eastAsia" w:ascii="黑体" w:hAnsi="黑体" w:eastAsia="黑体"/>
          <w:b w:val="0"/>
        </w:rPr>
        <w:t>第一部分 单位</w:t>
      </w:r>
      <w:r>
        <w:rPr>
          <w:rStyle w:val="30"/>
          <w:rFonts w:hint="eastAsia" w:ascii="黑体" w:hAnsi="黑体" w:eastAsia="黑体"/>
          <w:b w:val="0"/>
          <w:bCs w:val="0"/>
        </w:rPr>
        <w:t>概况</w:t>
      </w:r>
      <w:bookmarkEnd w:id="14"/>
      <w:bookmarkEnd w:id="15"/>
      <w:bookmarkEnd w:id="16"/>
    </w:p>
    <w:p w14:paraId="58C18C42">
      <w:pPr>
        <w:widowControl/>
        <w:jc w:val="left"/>
        <w:rPr>
          <w:rFonts w:ascii="黑体" w:eastAsia="黑体"/>
          <w:sz w:val="32"/>
          <w:szCs w:val="32"/>
        </w:rPr>
      </w:pPr>
    </w:p>
    <w:p w14:paraId="7DD7D475">
      <w:pPr>
        <w:pStyle w:val="4"/>
        <w:pageBreakBefore w:val="0"/>
        <w:numPr>
          <w:ilvl w:val="0"/>
          <w:numId w:val="1"/>
        </w:numPr>
        <w:kinsoku/>
        <w:wordWrap/>
        <w:overflowPunct/>
        <w:topLinePunct w:val="0"/>
        <w:autoSpaceDE/>
        <w:autoSpaceDN/>
        <w:bidi w:val="0"/>
        <w:adjustRightInd/>
        <w:snapToGrid/>
        <w:spacing w:before="0" w:after="0"/>
        <w:textAlignment w:val="auto"/>
        <w:rPr>
          <w:rStyle w:val="31"/>
          <w:rFonts w:ascii="黑体" w:hAnsi="黑体" w:eastAsia="黑体"/>
          <w:b w:val="0"/>
          <w:bCs w:val="0"/>
        </w:rPr>
      </w:pPr>
      <w:bookmarkStart w:id="17" w:name="_Toc3301"/>
      <w:bookmarkStart w:id="18" w:name="_Toc15377197"/>
      <w:bookmarkStart w:id="19" w:name="_Toc15396600"/>
      <w:r>
        <w:rPr>
          <w:rStyle w:val="31"/>
          <w:rFonts w:hint="eastAsia" w:ascii="黑体" w:hAnsi="黑体" w:eastAsia="黑体"/>
          <w:b w:val="0"/>
          <w:bCs w:val="0"/>
        </w:rPr>
        <w:t>主要职责</w:t>
      </w:r>
      <w:bookmarkEnd w:id="17"/>
    </w:p>
    <w:p w14:paraId="301C1377">
      <w:pPr>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Times New Roman" w:eastAsia="仿宋" w:cs="Times New Roman"/>
          <w:sz w:val="32"/>
          <w:szCs w:val="32"/>
          <w:lang w:val="en-US" w:eastAsia="zh-CN"/>
        </w:rPr>
      </w:pPr>
      <w:r>
        <w:rPr>
          <w:rFonts w:hint="eastAsia" w:ascii="仿宋" w:hAnsi="仿宋" w:eastAsia="仿宋"/>
          <w:sz w:val="32"/>
          <w:szCs w:val="32"/>
        </w:rPr>
        <w:t>全面贯彻党的教育方针，忠诚党的教育事业，</w:t>
      </w:r>
      <w:r>
        <w:rPr>
          <w:rFonts w:hint="eastAsia" w:ascii="仿宋" w:hAnsi="Times New Roman" w:eastAsia="仿宋" w:cs="Times New Roman"/>
          <w:sz w:val="32"/>
          <w:szCs w:val="32"/>
        </w:rPr>
        <w:t>从事教育及教学服务，办好教育，回报社会。遵守法律法规，贯彻国家教育方针，确保教育教学质量，遵守诚信原则:信守职业道德，提供诚信服务，接受社会监督，为经济建设和社会发展培养人才</w:t>
      </w:r>
      <w:r>
        <w:rPr>
          <w:rFonts w:hint="eastAsia" w:ascii="仿宋" w:hAnsi="Times New Roman" w:eastAsia="仿宋" w:cs="Times New Roman"/>
          <w:sz w:val="32"/>
          <w:szCs w:val="32"/>
          <w:lang w:eastAsia="zh-CN"/>
        </w:rPr>
        <w:t>。</w:t>
      </w:r>
    </w:p>
    <w:p w14:paraId="6E6C5333">
      <w:pPr>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lang w:eastAsia="zh-CN"/>
        </w:rPr>
      </w:pPr>
      <w:r>
        <w:rPr>
          <w:rFonts w:hint="eastAsia" w:ascii="仿宋" w:hAnsi="仿宋" w:eastAsia="仿宋"/>
          <w:sz w:val="32"/>
          <w:szCs w:val="32"/>
        </w:rPr>
        <w:t>业务范围:中、小学、幼儿园教育教学</w:t>
      </w:r>
      <w:r>
        <w:rPr>
          <w:rFonts w:hint="eastAsia" w:ascii="仿宋" w:hAnsi="仿宋" w:eastAsia="仿宋"/>
          <w:sz w:val="32"/>
          <w:szCs w:val="32"/>
          <w:lang w:eastAsia="zh-CN"/>
        </w:rPr>
        <w:t>。</w:t>
      </w:r>
    </w:p>
    <w:p w14:paraId="1BDC63DE">
      <w:pPr>
        <w:pStyle w:val="4"/>
        <w:pageBreakBefore w:val="0"/>
        <w:kinsoku/>
        <w:wordWrap/>
        <w:overflowPunct/>
        <w:topLinePunct w:val="0"/>
        <w:autoSpaceDE/>
        <w:autoSpaceDN/>
        <w:bidi w:val="0"/>
        <w:adjustRightInd/>
        <w:snapToGrid/>
        <w:spacing w:before="0" w:after="0"/>
        <w:textAlignment w:val="auto"/>
        <w:rPr>
          <w:rFonts w:ascii="黑体" w:hAnsi="黑体" w:eastAsia="黑体"/>
          <w:b w:val="0"/>
        </w:rPr>
      </w:pPr>
      <w:bookmarkStart w:id="20" w:name="_Toc1932"/>
      <w:r>
        <w:rPr>
          <w:rFonts w:hint="eastAsia" w:ascii="黑体" w:hAnsi="黑体" w:eastAsia="黑体"/>
          <w:b w:val="0"/>
        </w:rPr>
        <w:t>二、机构设置</w:t>
      </w:r>
      <w:bookmarkEnd w:id="20"/>
    </w:p>
    <w:bookmarkEnd w:id="18"/>
    <w:bookmarkEnd w:id="19"/>
    <w:p w14:paraId="2287D0C2">
      <w:pPr>
        <w:pageBreakBefore w:val="0"/>
        <w:widowControl/>
        <w:kinsoku/>
        <w:wordWrap/>
        <w:overflowPunct/>
        <w:topLinePunct w:val="0"/>
        <w:autoSpaceDE/>
        <w:autoSpaceDN/>
        <w:bidi w:val="0"/>
        <w:adjustRightInd/>
        <w:snapToGrid/>
        <w:ind w:firstLine="640" w:firstLineChars="200"/>
        <w:jc w:val="left"/>
        <w:textAlignment w:val="auto"/>
        <w:rPr>
          <w:rFonts w:ascii="仿宋" w:hAnsi="仿宋" w:eastAsia="仿宋"/>
          <w:kern w:val="0"/>
          <w:sz w:val="32"/>
          <w:szCs w:val="32"/>
        </w:rPr>
      </w:pPr>
      <w:r>
        <w:rPr>
          <w:rFonts w:hint="eastAsia" w:ascii="仿宋" w:hAnsi="仿宋" w:eastAsia="仿宋"/>
          <w:sz w:val="32"/>
          <w:szCs w:val="32"/>
        </w:rPr>
        <w:t>射洪市瞿河学校下属二级单位0个，其中行政单位0个，参照公务员法管理的事业单位0个，其他事业单位0个。</w:t>
      </w:r>
      <w:r>
        <w:rPr>
          <w:rFonts w:ascii="仿宋" w:hAnsi="仿宋" w:eastAsia="仿宋"/>
          <w:sz w:val="32"/>
          <w:szCs w:val="32"/>
        </w:rPr>
        <w:br w:type="page"/>
      </w:r>
    </w:p>
    <w:p w14:paraId="290E0361">
      <w:pPr>
        <w:pStyle w:val="3"/>
        <w:ind w:right="440"/>
        <w:jc w:val="center"/>
        <w:rPr>
          <w:rStyle w:val="30"/>
          <w:rFonts w:ascii="黑体" w:hAnsi="黑体" w:eastAsia="黑体"/>
          <w:b w:val="0"/>
          <w:bCs/>
        </w:rPr>
      </w:pPr>
      <w:bookmarkStart w:id="21" w:name="_Toc15377204"/>
      <w:bookmarkStart w:id="22" w:name="_Toc15396602"/>
      <w:bookmarkStart w:id="23" w:name="_Toc29311"/>
      <w:r>
        <w:rPr>
          <w:rFonts w:hint="eastAsia" w:ascii="黑体" w:hAnsi="黑体" w:eastAsia="黑体"/>
          <w:b w:val="0"/>
        </w:rPr>
        <w:t>第二部分 2023年度</w:t>
      </w:r>
      <w:r>
        <w:rPr>
          <w:rStyle w:val="30"/>
          <w:rFonts w:hint="eastAsia" w:ascii="黑体" w:hAnsi="黑体" w:eastAsia="黑体"/>
          <w:b w:val="0"/>
          <w:bCs/>
        </w:rPr>
        <w:t>单位决算情况说明</w:t>
      </w:r>
      <w:bookmarkEnd w:id="21"/>
      <w:bookmarkEnd w:id="22"/>
      <w:bookmarkEnd w:id="23"/>
    </w:p>
    <w:p w14:paraId="24DF7A7A"/>
    <w:p w14:paraId="0A337F05">
      <w:pPr>
        <w:pStyle w:val="29"/>
        <w:numPr>
          <w:ilvl w:val="0"/>
          <w:numId w:val="2"/>
        </w:numPr>
        <w:spacing w:line="600" w:lineRule="exact"/>
        <w:ind w:firstLineChars="0"/>
        <w:outlineLvl w:val="1"/>
        <w:rPr>
          <w:rStyle w:val="31"/>
          <w:rFonts w:ascii="黑体" w:hAnsi="黑体" w:eastAsia="黑体"/>
          <w:b w:val="0"/>
        </w:rPr>
      </w:pPr>
      <w:bookmarkStart w:id="24" w:name="_Toc30683"/>
      <w:bookmarkStart w:id="25" w:name="_Toc15377205"/>
      <w:bookmarkStart w:id="26" w:name="_Toc15396603"/>
      <w:r>
        <w:rPr>
          <w:rFonts w:hint="eastAsia" w:ascii="黑体" w:hAnsi="黑体" w:eastAsia="黑体"/>
          <w:sz w:val="32"/>
          <w:szCs w:val="32"/>
        </w:rPr>
        <w:t>收</w:t>
      </w:r>
      <w:r>
        <w:rPr>
          <w:rStyle w:val="31"/>
          <w:rFonts w:hint="eastAsia" w:ascii="黑体" w:hAnsi="黑体" w:eastAsia="黑体"/>
          <w:b w:val="0"/>
        </w:rPr>
        <w:t>入支出决算总体情况说明</w:t>
      </w:r>
      <w:bookmarkEnd w:id="24"/>
      <w:bookmarkEnd w:id="25"/>
      <w:bookmarkEnd w:id="26"/>
    </w:p>
    <w:p w14:paraId="7B65590A">
      <w:pPr>
        <w:spacing w:line="600" w:lineRule="exact"/>
        <w:ind w:firstLine="640" w:firstLineChars="200"/>
        <w:rPr>
          <w:rFonts w:ascii="仿宋" w:hAnsi="仿宋" w:eastAsia="仿宋"/>
          <w:sz w:val="32"/>
          <w:szCs w:val="32"/>
        </w:rPr>
      </w:pPr>
      <w:r>
        <w:rPr>
          <w:rFonts w:hint="eastAsia" w:ascii="仿宋" w:hAnsi="仿宋" w:eastAsia="仿宋"/>
          <w:sz w:val="32"/>
          <w:szCs w:val="32"/>
          <w:lang w:val="en-US" w:eastAsia="zh-CN"/>
        </w:rPr>
        <w:t>2023年度收、支总计均为1127.29万元。与2022年度相比，收、支总计各增加97.07万元，增长9.4%。主要变动原因是2023年年末我单位职工人数及生源人数的变化，为维持学校的基本运行，公用经费和人员经费的增加</w:t>
      </w:r>
      <w:r>
        <w:rPr>
          <w:rFonts w:hint="eastAsia" w:ascii="仿宋" w:hAnsi="仿宋" w:eastAsia="仿宋"/>
          <w:sz w:val="32"/>
          <w:szCs w:val="32"/>
        </w:rPr>
        <w:t>。</w:t>
      </w:r>
    </w:p>
    <w:p w14:paraId="47C32F9B">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14:paraId="68060857">
      <w:pPr>
        <w:spacing w:line="600" w:lineRule="exact"/>
        <w:ind w:firstLine="420" w:firstLineChars="200"/>
        <w:jc w:val="left"/>
        <w:rPr>
          <w:rFonts w:ascii="仿宋_GB2312" w:eastAsia="仿宋_GB2312"/>
          <w:sz w:val="32"/>
          <w:szCs w:val="32"/>
        </w:rPr>
      </w:pPr>
      <w:r>
        <w:drawing>
          <wp:anchor distT="0" distB="0" distL="114300" distR="114300" simplePos="0" relativeHeight="251659264" behindDoc="0" locked="0" layoutInCell="1" allowOverlap="1">
            <wp:simplePos x="0" y="0"/>
            <wp:positionH relativeFrom="column">
              <wp:posOffset>706755</wp:posOffset>
            </wp:positionH>
            <wp:positionV relativeFrom="paragraph">
              <wp:posOffset>119380</wp:posOffset>
            </wp:positionV>
            <wp:extent cx="4023360" cy="2566035"/>
            <wp:effectExtent l="4445" t="4445" r="10795" b="50800"/>
            <wp:wrapTopAndBottom/>
            <wp:docPr id="2" name="图表 1" descr="7b0a202020202263686172745265734964223a202232303437323034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14:paraId="5E16F106">
      <w:pPr>
        <w:pStyle w:val="29"/>
        <w:numPr>
          <w:ilvl w:val="0"/>
          <w:numId w:val="2"/>
        </w:numPr>
        <w:spacing w:line="600" w:lineRule="exact"/>
        <w:ind w:firstLineChars="0"/>
        <w:outlineLvl w:val="1"/>
        <w:rPr>
          <w:rStyle w:val="31"/>
          <w:rFonts w:ascii="黑体" w:hAnsi="黑体" w:eastAsia="黑体"/>
          <w:b w:val="0"/>
        </w:rPr>
      </w:pPr>
      <w:bookmarkStart w:id="27" w:name="_Toc20569"/>
      <w:bookmarkStart w:id="28" w:name="_Toc15377206"/>
      <w:bookmarkStart w:id="29" w:name="_Toc15396604"/>
      <w:r>
        <w:rPr>
          <w:rFonts w:hint="eastAsia" w:ascii="黑体" w:hAnsi="黑体" w:eastAsia="黑体"/>
          <w:sz w:val="32"/>
          <w:szCs w:val="32"/>
        </w:rPr>
        <w:t>收</w:t>
      </w:r>
      <w:r>
        <w:rPr>
          <w:rStyle w:val="31"/>
          <w:rFonts w:hint="eastAsia" w:ascii="黑体" w:hAnsi="黑体" w:eastAsia="黑体"/>
          <w:b w:val="0"/>
        </w:rPr>
        <w:t>入决算情况说明</w:t>
      </w:r>
      <w:bookmarkEnd w:id="27"/>
      <w:bookmarkEnd w:id="28"/>
      <w:bookmarkEnd w:id="29"/>
    </w:p>
    <w:p w14:paraId="568F40EF">
      <w:pPr>
        <w:spacing w:line="600" w:lineRule="exact"/>
        <w:ind w:firstLine="640" w:firstLineChars="200"/>
        <w:outlineLvl w:val="1"/>
        <w:rPr>
          <w:rFonts w:hint="eastAsia" w:ascii="仿宋" w:hAnsi="仿宋" w:eastAsia="仿宋"/>
          <w:sz w:val="32"/>
          <w:szCs w:val="32"/>
          <w:lang w:val="en-US" w:eastAsia="zh-CN"/>
        </w:rPr>
      </w:pPr>
      <w:bookmarkStart w:id="30" w:name="_Toc7070"/>
      <w:r>
        <w:rPr>
          <w:rFonts w:hint="eastAsia" w:ascii="仿宋" w:hAnsi="仿宋" w:eastAsia="仿宋"/>
          <w:sz w:val="32"/>
          <w:szCs w:val="32"/>
          <w:lang w:val="en-US" w:eastAsia="zh-CN"/>
        </w:rPr>
        <w:t>2023年度本年收入合计1127.29万元，其中：一般公共预算财政拨款收入1127.29万元，占100%；政府性基金预算财政拨款收入0万元，占0%；国有资本经营预算财政拨款收入0万元，占0%；上级补助收入0万元，占0%；事业收入0万元，占0%；经营收入0万元，占0%；附属单位上缴收入0万元，占0%；其他收入0万元，占0%</w:t>
      </w:r>
      <w:bookmarkEnd w:id="30"/>
    </w:p>
    <w:p w14:paraId="75DE0099">
      <w:pPr>
        <w:spacing w:line="600" w:lineRule="exact"/>
        <w:ind w:firstLine="640" w:firstLineChars="200"/>
        <w:rPr>
          <w:rFonts w:ascii="仿宋" w:hAnsi="仿宋" w:eastAsia="仿宋"/>
          <w:sz w:val="32"/>
          <w:szCs w:val="32"/>
        </w:rPr>
      </w:pPr>
      <w:r>
        <w:rPr>
          <w:rFonts w:hint="eastAsia" w:ascii="仿宋" w:hAnsi="仿宋" w:eastAsia="仿宋"/>
          <w:sz w:val="32"/>
          <w:szCs w:val="32"/>
        </w:rPr>
        <w:t>（图2：收入决算结构图）（饼状图）</w:t>
      </w:r>
    </w:p>
    <w:p w14:paraId="0693E48E">
      <w:pPr>
        <w:spacing w:line="600" w:lineRule="exact"/>
        <w:ind w:firstLine="420" w:firstLineChars="200"/>
        <w:rPr>
          <w:rFonts w:ascii="仿宋_GB2312" w:eastAsia="仿宋_GB2312"/>
          <w:sz w:val="32"/>
          <w:szCs w:val="32"/>
        </w:rPr>
      </w:pPr>
      <w:r>
        <w:drawing>
          <wp:anchor distT="0" distB="0" distL="114300" distR="114300" simplePos="0" relativeHeight="251660288" behindDoc="0" locked="0" layoutInCell="1" allowOverlap="1">
            <wp:simplePos x="0" y="0"/>
            <wp:positionH relativeFrom="column">
              <wp:posOffset>423545</wp:posOffset>
            </wp:positionH>
            <wp:positionV relativeFrom="paragraph">
              <wp:posOffset>191135</wp:posOffset>
            </wp:positionV>
            <wp:extent cx="3775710" cy="2861310"/>
            <wp:effectExtent l="4445" t="4445" r="14605" b="14605"/>
            <wp:wrapTopAndBottom/>
            <wp:docPr id="14"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7B93C2BB">
      <w:pPr>
        <w:pStyle w:val="29"/>
        <w:numPr>
          <w:ilvl w:val="0"/>
          <w:numId w:val="2"/>
        </w:numPr>
        <w:spacing w:line="600" w:lineRule="exact"/>
        <w:ind w:firstLineChars="0"/>
        <w:outlineLvl w:val="1"/>
        <w:rPr>
          <w:rStyle w:val="31"/>
          <w:rFonts w:ascii="黑体" w:hAnsi="黑体" w:eastAsia="黑体"/>
          <w:b w:val="0"/>
        </w:rPr>
      </w:pPr>
      <w:bookmarkStart w:id="31" w:name="_Toc15396605"/>
      <w:bookmarkStart w:id="32" w:name="_Toc15377207"/>
      <w:bookmarkStart w:id="33" w:name="_Toc28888"/>
      <w:r>
        <w:rPr>
          <w:rFonts w:hint="eastAsia" w:ascii="黑体" w:hAnsi="黑体" w:eastAsia="黑体"/>
          <w:sz w:val="32"/>
          <w:szCs w:val="32"/>
        </w:rPr>
        <w:t>支</w:t>
      </w:r>
      <w:r>
        <w:rPr>
          <w:rStyle w:val="31"/>
          <w:rFonts w:hint="eastAsia" w:ascii="黑体" w:hAnsi="黑体" w:eastAsia="黑体"/>
          <w:b w:val="0"/>
        </w:rPr>
        <w:t>出决算情况说明</w:t>
      </w:r>
      <w:bookmarkEnd w:id="31"/>
      <w:bookmarkEnd w:id="32"/>
      <w:bookmarkEnd w:id="33"/>
    </w:p>
    <w:p w14:paraId="602CB4F0">
      <w:pPr>
        <w:spacing w:line="600" w:lineRule="exact"/>
        <w:ind w:firstLine="640" w:firstLineChars="200"/>
        <w:outlineLvl w:val="1"/>
        <w:rPr>
          <w:rFonts w:hint="eastAsia" w:ascii="仿宋" w:hAnsi="仿宋" w:eastAsia="仿宋"/>
          <w:sz w:val="32"/>
          <w:szCs w:val="32"/>
          <w:lang w:val="en-US" w:eastAsia="zh-CN"/>
        </w:rPr>
      </w:pPr>
      <w:bookmarkStart w:id="34" w:name="_Toc3511"/>
      <w:r>
        <w:rPr>
          <w:rFonts w:hint="eastAsia" w:ascii="仿宋" w:hAnsi="仿宋" w:eastAsia="仿宋"/>
          <w:sz w:val="32"/>
          <w:szCs w:val="32"/>
          <w:lang w:val="en-US" w:eastAsia="zh-CN"/>
        </w:rPr>
        <w:t>2023年度本年支出合计1127.29万元，其中：基本支出1120.07万元，占99.4%；项目支出7.21万元，占0.6%；上缴上级支出0万元，占0%；经营支出0万元，占0%；对附属单位补助支出0万元，占0%。</w:t>
      </w:r>
      <w:bookmarkEnd w:id="34"/>
    </w:p>
    <w:p w14:paraId="432109EA">
      <w:pPr>
        <w:spacing w:line="600" w:lineRule="exact"/>
        <w:ind w:firstLine="640" w:firstLineChars="200"/>
        <w:rPr>
          <w:rFonts w:ascii="仿宋" w:hAnsi="仿宋" w:eastAsia="仿宋"/>
          <w:sz w:val="32"/>
          <w:szCs w:val="32"/>
        </w:rPr>
      </w:pPr>
      <w:r>
        <w:rPr>
          <w:rFonts w:hint="eastAsia" w:ascii="仿宋" w:hAnsi="仿宋" w:eastAsia="仿宋"/>
          <w:sz w:val="32"/>
          <w:szCs w:val="32"/>
        </w:rPr>
        <w:t>（图3：支出决算结构图）（饼状图）</w:t>
      </w:r>
    </w:p>
    <w:p w14:paraId="7E206425">
      <w:pPr>
        <w:spacing w:line="600" w:lineRule="exact"/>
        <w:ind w:firstLine="420" w:firstLineChars="200"/>
        <w:rPr>
          <w:rFonts w:ascii="仿宋_GB2312" w:eastAsia="仿宋_GB2312"/>
          <w:sz w:val="32"/>
          <w:szCs w:val="32"/>
        </w:rPr>
      </w:pPr>
      <w:r>
        <w:drawing>
          <wp:anchor distT="0" distB="0" distL="114300" distR="114300" simplePos="0" relativeHeight="251661312" behindDoc="0" locked="0" layoutInCell="1" allowOverlap="1">
            <wp:simplePos x="0" y="0"/>
            <wp:positionH relativeFrom="column">
              <wp:posOffset>271780</wp:posOffset>
            </wp:positionH>
            <wp:positionV relativeFrom="paragraph">
              <wp:posOffset>-2784475</wp:posOffset>
            </wp:positionV>
            <wp:extent cx="3768725" cy="3037205"/>
            <wp:effectExtent l="5080" t="4445" r="5715" b="52070"/>
            <wp:wrapTopAndBottom/>
            <wp:docPr id="6" name="图表 5" descr="7b0a202020202263686172745265734964223a202232303437323230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10B495A0">
      <w:pPr>
        <w:spacing w:line="600" w:lineRule="exact"/>
        <w:ind w:firstLine="640" w:firstLineChars="200"/>
        <w:outlineLvl w:val="1"/>
        <w:rPr>
          <w:rStyle w:val="31"/>
          <w:rFonts w:ascii="黑体" w:hAnsi="黑体" w:eastAsia="黑体"/>
          <w:b w:val="0"/>
        </w:rPr>
      </w:pPr>
      <w:bookmarkStart w:id="35" w:name="_Toc23096"/>
      <w:bookmarkStart w:id="36" w:name="_Toc15377208"/>
      <w:bookmarkStart w:id="37" w:name="_Toc15396606"/>
      <w:r>
        <w:rPr>
          <w:rFonts w:hint="eastAsia" w:ascii="黑体" w:hAnsi="黑体" w:eastAsia="黑体"/>
          <w:sz w:val="32"/>
          <w:szCs w:val="32"/>
        </w:rPr>
        <w:t>四、财</w:t>
      </w:r>
      <w:r>
        <w:rPr>
          <w:rStyle w:val="31"/>
          <w:rFonts w:hint="eastAsia" w:ascii="黑体" w:hAnsi="黑体" w:eastAsia="黑体"/>
          <w:b w:val="0"/>
        </w:rPr>
        <w:t>政拨款收入支出决算总体情况说明</w:t>
      </w:r>
      <w:bookmarkEnd w:id="35"/>
      <w:bookmarkEnd w:id="36"/>
      <w:bookmarkEnd w:id="37"/>
    </w:p>
    <w:p w14:paraId="42F70091">
      <w:pPr>
        <w:spacing w:line="600" w:lineRule="exact"/>
        <w:ind w:firstLine="640" w:firstLineChars="200"/>
        <w:rPr>
          <w:rFonts w:ascii="仿宋" w:hAnsi="仿宋" w:eastAsia="仿宋"/>
          <w:sz w:val="32"/>
          <w:szCs w:val="32"/>
        </w:rPr>
      </w:pPr>
      <w:r>
        <w:rPr>
          <w:rFonts w:hint="eastAsia" w:ascii="仿宋" w:hAnsi="仿宋" w:eastAsia="仿宋"/>
          <w:sz w:val="32"/>
          <w:szCs w:val="32"/>
          <w:lang w:val="en-US" w:eastAsia="zh-CN"/>
        </w:rPr>
        <w:t>2023年度财政拨款收、支总计均为1127.29万元。与2022年度相比，财政拨款收、支总计各增加97.07万元，增长9.4%。主要变动原因是2023年年末我单位职工人数及生源人数的变化，为维持学校的基本运行，公用经费和人员经费的增加</w:t>
      </w:r>
      <w:r>
        <w:rPr>
          <w:rFonts w:hint="eastAsia" w:ascii="仿宋" w:hAnsi="仿宋" w:eastAsia="仿宋"/>
          <w:sz w:val="32"/>
          <w:szCs w:val="32"/>
        </w:rPr>
        <w:t>。</w:t>
      </w:r>
    </w:p>
    <w:p w14:paraId="703AF55C">
      <w:pPr>
        <w:spacing w:line="600" w:lineRule="exact"/>
        <w:ind w:firstLine="640" w:firstLineChars="200"/>
        <w:rPr>
          <w:rFonts w:ascii="仿宋" w:hAnsi="仿宋" w:eastAsia="仿宋"/>
          <w:sz w:val="32"/>
          <w:szCs w:val="32"/>
        </w:rPr>
      </w:pPr>
      <w:r>
        <w:rPr>
          <w:rFonts w:hint="eastAsia" w:ascii="仿宋" w:hAnsi="仿宋" w:eastAsia="仿宋"/>
          <w:sz w:val="32"/>
          <w:szCs w:val="32"/>
          <w:lang w:val="en-US" w:eastAsia="zh-CN"/>
        </w:rPr>
        <w:drawing>
          <wp:anchor distT="0" distB="0" distL="114300" distR="114300" simplePos="0" relativeHeight="251662336" behindDoc="0" locked="0" layoutInCell="1" allowOverlap="1">
            <wp:simplePos x="0" y="0"/>
            <wp:positionH relativeFrom="column">
              <wp:posOffset>633095</wp:posOffset>
            </wp:positionH>
            <wp:positionV relativeFrom="paragraph">
              <wp:posOffset>565785</wp:posOffset>
            </wp:positionV>
            <wp:extent cx="4030980" cy="2649855"/>
            <wp:effectExtent l="4445" t="4445" r="18415" b="12700"/>
            <wp:wrapTopAndBottom/>
            <wp:docPr id="12" name="图表 11" descr="7b0a202020202263686172745265734964223a202232303437363038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仿宋" w:hAnsi="仿宋" w:eastAsia="仿宋"/>
          <w:sz w:val="32"/>
          <w:szCs w:val="32"/>
        </w:rPr>
        <w:t>（图4：财政拨款收、支决算总计变动情况）（柱状图）</w:t>
      </w:r>
    </w:p>
    <w:p w14:paraId="686C3DEC">
      <w:pPr>
        <w:spacing w:line="600" w:lineRule="exact"/>
        <w:ind w:firstLine="640"/>
        <w:rPr>
          <w:rFonts w:ascii="仿宋" w:hAnsi="仿宋" w:eastAsia="仿宋"/>
          <w:b/>
          <w:sz w:val="32"/>
          <w:szCs w:val="32"/>
        </w:rPr>
      </w:pPr>
    </w:p>
    <w:p w14:paraId="4039A89D">
      <w:pPr>
        <w:spacing w:line="600" w:lineRule="exact"/>
        <w:ind w:firstLine="640" w:firstLineChars="200"/>
        <w:outlineLvl w:val="1"/>
        <w:rPr>
          <w:rStyle w:val="31"/>
          <w:rFonts w:ascii="黑体" w:hAnsi="黑体" w:eastAsia="黑体"/>
          <w:b w:val="0"/>
        </w:rPr>
      </w:pPr>
      <w:bookmarkStart w:id="38" w:name="_Toc28401"/>
      <w:bookmarkStart w:id="39" w:name="_Toc15396607"/>
      <w:bookmarkStart w:id="40" w:name="_Toc15377209"/>
      <w:r>
        <w:rPr>
          <w:rFonts w:hint="eastAsia" w:ascii="黑体" w:hAnsi="黑体" w:eastAsia="黑体"/>
          <w:sz w:val="32"/>
          <w:szCs w:val="32"/>
        </w:rPr>
        <w:t>五、</w:t>
      </w:r>
      <w:r>
        <w:rPr>
          <w:rFonts w:hint="eastAsia" w:ascii="黑体" w:hAnsi="黑体" w:eastAsia="黑体"/>
          <w:b/>
          <w:sz w:val="32"/>
          <w:szCs w:val="32"/>
        </w:rPr>
        <w:t>一</w:t>
      </w:r>
      <w:r>
        <w:rPr>
          <w:rStyle w:val="31"/>
          <w:rFonts w:hint="eastAsia" w:ascii="黑体" w:hAnsi="黑体" w:eastAsia="黑体"/>
          <w:b w:val="0"/>
        </w:rPr>
        <w:t>般公共预算财政拨款支出决算情况说明</w:t>
      </w:r>
      <w:bookmarkEnd w:id="38"/>
      <w:bookmarkEnd w:id="39"/>
      <w:bookmarkEnd w:id="40"/>
    </w:p>
    <w:p w14:paraId="5F21B2F0">
      <w:pPr>
        <w:spacing w:line="600" w:lineRule="exact"/>
        <w:ind w:firstLine="643" w:firstLineChars="200"/>
        <w:outlineLvl w:val="2"/>
        <w:rPr>
          <w:rFonts w:ascii="仿宋" w:hAnsi="仿宋" w:eastAsia="仿宋"/>
          <w:b/>
          <w:sz w:val="32"/>
          <w:szCs w:val="32"/>
        </w:rPr>
      </w:pPr>
      <w:bookmarkStart w:id="41" w:name="_Toc15377210"/>
      <w:r>
        <w:rPr>
          <w:rFonts w:hint="eastAsia" w:ascii="仿宋" w:hAnsi="仿宋" w:eastAsia="仿宋"/>
          <w:b/>
          <w:sz w:val="32"/>
          <w:szCs w:val="32"/>
        </w:rPr>
        <w:t>（一）一般公共预算财政拨款支出决算总体情况</w:t>
      </w:r>
      <w:bookmarkEnd w:id="41"/>
    </w:p>
    <w:p w14:paraId="26F2A39B">
      <w:pPr>
        <w:spacing w:line="600" w:lineRule="exact"/>
        <w:ind w:firstLine="640" w:firstLineChars="200"/>
        <w:rPr>
          <w:rFonts w:ascii="仿宋" w:hAnsi="仿宋" w:eastAsia="仿宋"/>
          <w:sz w:val="32"/>
          <w:szCs w:val="32"/>
        </w:rPr>
      </w:pPr>
      <w:r>
        <w:rPr>
          <w:rFonts w:hint="eastAsia" w:ascii="仿宋" w:hAnsi="仿宋" w:eastAsia="仿宋"/>
          <w:sz w:val="32"/>
          <w:szCs w:val="32"/>
          <w:lang w:val="en-US" w:eastAsia="zh-CN"/>
        </w:rPr>
        <w:t>2023年度一般公共预算财政拨款支出1127.29万元，占本年支出合计的100%。与2022年度相比，一般公共预算财政拨款支出增加97.07万元，增长9.4%。主要变动原因是2023年年末我单位职工人数及生源人数的变化，为维持学校的基本运行，公用经费和人员经费的增加。</w:t>
      </w:r>
    </w:p>
    <w:p w14:paraId="492F85FC">
      <w:pPr>
        <w:spacing w:line="60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（图5：一般公共预算财政拨款支出决算变动情况）（柱状图）</w:t>
      </w:r>
    </w:p>
    <w:p w14:paraId="2AF374ED">
      <w:pPr>
        <w:spacing w:line="600" w:lineRule="exact"/>
        <w:ind w:firstLine="420" w:firstLineChars="200"/>
        <w:rPr>
          <w:rFonts w:ascii="仿宋" w:hAnsi="仿宋" w:eastAsia="仿宋"/>
          <w:sz w:val="32"/>
          <w:szCs w:val="32"/>
        </w:rPr>
      </w:pPr>
      <w:r>
        <w:drawing>
          <wp:anchor distT="0" distB="0" distL="114300" distR="114300" simplePos="0" relativeHeight="251663360" behindDoc="0" locked="0" layoutInCell="1" allowOverlap="1">
            <wp:simplePos x="0" y="0"/>
            <wp:positionH relativeFrom="column">
              <wp:posOffset>661670</wp:posOffset>
            </wp:positionH>
            <wp:positionV relativeFrom="paragraph">
              <wp:posOffset>135255</wp:posOffset>
            </wp:positionV>
            <wp:extent cx="4030980" cy="2649855"/>
            <wp:effectExtent l="4445" t="4445" r="18415" b="12700"/>
            <wp:wrapTopAndBottom/>
            <wp:docPr id="1" name="图表 11" descr="7b0a202020202263686172745265734964223a202232303437363038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5A771F1B">
      <w:pPr>
        <w:spacing w:line="600" w:lineRule="exact"/>
        <w:ind w:firstLine="643" w:firstLineChars="200"/>
        <w:outlineLvl w:val="2"/>
        <w:rPr>
          <w:rFonts w:ascii="仿宋" w:hAnsi="仿宋" w:eastAsia="仿宋"/>
          <w:b/>
          <w:sz w:val="32"/>
          <w:szCs w:val="32"/>
        </w:rPr>
      </w:pPr>
      <w:bookmarkStart w:id="42" w:name="_Toc15377211"/>
      <w:r>
        <w:rPr>
          <w:rFonts w:hint="eastAsia" w:ascii="仿宋" w:hAnsi="仿宋" w:eastAsia="仿宋"/>
          <w:b/>
          <w:sz w:val="32"/>
          <w:szCs w:val="32"/>
        </w:rPr>
        <w:t>（二）一般公共预算财政拨款支出决算结构情况</w:t>
      </w:r>
      <w:bookmarkEnd w:id="42"/>
    </w:p>
    <w:p w14:paraId="582373A8">
      <w:pPr>
        <w:spacing w:line="600"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2023年度一般公共预算财政拨款支出1127.29万元，主要用于以下方面:教育支出847.84万元，占75.2%；社会保障和就业支出152.90万元，占13.6%；卫生健康支出41.05万元，占3.6%；农林水支出7.21万元，占0.6%；住房保障支出78.29万元，占7%。</w:t>
      </w:r>
    </w:p>
    <w:p w14:paraId="403BB324">
      <w:pPr>
        <w:spacing w:line="600" w:lineRule="exact"/>
        <w:ind w:firstLine="640"/>
        <w:rPr>
          <w:rFonts w:ascii="仿宋" w:hAnsi="仿宋" w:eastAsia="仿宋"/>
          <w:sz w:val="32"/>
          <w:szCs w:val="32"/>
        </w:rPr>
      </w:pPr>
    </w:p>
    <w:p w14:paraId="1427DA86">
      <w:pPr>
        <w:spacing w:line="60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（图6：一般公共预算财政拨款支出决算结构）（饼状图）</w:t>
      </w:r>
    </w:p>
    <w:p w14:paraId="17F2527B">
      <w:pPr>
        <w:spacing w:line="600" w:lineRule="exact"/>
        <w:ind w:firstLine="420" w:firstLineChars="200"/>
        <w:rPr>
          <w:rFonts w:ascii="仿宋" w:hAnsi="仿宋" w:eastAsia="仿宋"/>
          <w:sz w:val="32"/>
          <w:szCs w:val="32"/>
        </w:rPr>
      </w:pPr>
      <w:r>
        <w:drawing>
          <wp:anchor distT="0" distB="0" distL="114300" distR="114300" simplePos="0" relativeHeight="251664384" behindDoc="0" locked="0" layoutInCell="1" allowOverlap="1">
            <wp:simplePos x="0" y="0"/>
            <wp:positionH relativeFrom="column">
              <wp:posOffset>598170</wp:posOffset>
            </wp:positionH>
            <wp:positionV relativeFrom="paragraph">
              <wp:posOffset>358140</wp:posOffset>
            </wp:positionV>
            <wp:extent cx="3905885" cy="3075940"/>
            <wp:effectExtent l="4445" t="5080" r="6350" b="12700"/>
            <wp:wrapTopAndBottom/>
            <wp:docPr id="15" name="图表 14" descr="7b0a202020202263686172745265734964223a202232303436393939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75E4E832">
      <w:pPr>
        <w:spacing w:line="600" w:lineRule="exact"/>
        <w:ind w:firstLine="643" w:firstLineChars="200"/>
        <w:outlineLvl w:val="2"/>
        <w:rPr>
          <w:rFonts w:ascii="仿宋" w:hAnsi="仿宋" w:eastAsia="仿宋"/>
          <w:b/>
          <w:sz w:val="32"/>
          <w:szCs w:val="32"/>
        </w:rPr>
      </w:pPr>
      <w:bookmarkStart w:id="43" w:name="_Toc15377212"/>
      <w:r>
        <w:rPr>
          <w:rFonts w:hint="eastAsia" w:ascii="仿宋" w:hAnsi="仿宋" w:eastAsia="仿宋"/>
          <w:b/>
          <w:sz w:val="32"/>
          <w:szCs w:val="32"/>
        </w:rPr>
        <w:t>（三）一般公共预算财政拨款支出决算具体情况</w:t>
      </w:r>
      <w:bookmarkEnd w:id="43"/>
    </w:p>
    <w:p w14:paraId="6C9ABC32">
      <w:pPr>
        <w:spacing w:line="600" w:lineRule="exact"/>
        <w:ind w:firstLine="643" w:firstLineChars="200"/>
        <w:outlineLvl w:val="1"/>
        <w:rPr>
          <w:rFonts w:ascii="仿宋" w:hAnsi="仿宋" w:eastAsia="仿宋"/>
          <w:sz w:val="32"/>
          <w:szCs w:val="32"/>
        </w:rPr>
      </w:pPr>
      <w:bookmarkStart w:id="44" w:name="_Toc15378460"/>
      <w:bookmarkStart w:id="45" w:name="_Toc25307"/>
      <w:bookmarkStart w:id="46" w:name="_Toc15377444"/>
      <w:bookmarkStart w:id="47" w:name="_Toc15377213"/>
      <w:r>
        <w:rPr>
          <w:rFonts w:hint="eastAsia" w:ascii="仿宋" w:hAnsi="仿宋" w:eastAsia="仿宋"/>
          <w:b/>
          <w:sz w:val="32"/>
          <w:szCs w:val="32"/>
        </w:rPr>
        <w:t>2023年度一般公共预算支出决算数为</w:t>
      </w:r>
      <w:r>
        <w:rPr>
          <w:rFonts w:ascii="仿宋" w:hAnsi="仿宋" w:eastAsia="仿宋"/>
          <w:b/>
          <w:sz w:val="32"/>
          <w:szCs w:val="32"/>
        </w:rPr>
        <w:t>1127.29</w:t>
      </w:r>
      <w:r>
        <w:rPr>
          <w:rFonts w:hint="eastAsia" w:ascii="仿宋" w:hAnsi="仿宋" w:eastAsia="仿宋"/>
          <w:b/>
          <w:sz w:val="32"/>
          <w:szCs w:val="32"/>
          <w:lang w:eastAsia="zh-CN"/>
        </w:rPr>
        <w:t>万元</w:t>
      </w:r>
      <w:r>
        <w:rPr>
          <w:rFonts w:hint="eastAsia" w:ascii="仿宋" w:hAnsi="仿宋" w:eastAsia="仿宋"/>
          <w:sz w:val="32"/>
          <w:szCs w:val="32"/>
        </w:rPr>
        <w:t>，</w:t>
      </w:r>
      <w:bookmarkEnd w:id="44"/>
      <w:bookmarkEnd w:id="45"/>
      <w:bookmarkEnd w:id="46"/>
      <w:bookmarkEnd w:id="47"/>
      <w:r>
        <w:rPr>
          <w:rStyle w:val="19"/>
          <w:rFonts w:hint="eastAsia" w:ascii="仿宋" w:hAnsi="仿宋" w:eastAsia="仿宋"/>
          <w:bCs/>
          <w:sz w:val="32"/>
          <w:szCs w:val="32"/>
        </w:rPr>
        <w:t>完成预算</w:t>
      </w:r>
      <w:r>
        <w:rPr>
          <w:rStyle w:val="19"/>
          <w:rFonts w:hint="eastAsia" w:ascii="仿宋" w:hAnsi="仿宋" w:eastAsia="仿宋"/>
          <w:bCs/>
          <w:sz w:val="32"/>
          <w:szCs w:val="32"/>
          <w:lang w:val="en-US" w:eastAsia="zh-CN"/>
        </w:rPr>
        <w:t>100</w:t>
      </w:r>
      <w:r>
        <w:rPr>
          <w:rStyle w:val="19"/>
          <w:rFonts w:ascii="仿宋" w:hAnsi="仿宋" w:eastAsia="仿宋"/>
          <w:bCs/>
          <w:sz w:val="32"/>
          <w:szCs w:val="32"/>
        </w:rPr>
        <w:t>%</w:t>
      </w:r>
      <w:r>
        <w:rPr>
          <w:rStyle w:val="19"/>
          <w:rFonts w:hint="eastAsia" w:ascii="仿宋" w:hAnsi="仿宋" w:eastAsia="仿宋"/>
          <w:bCs/>
          <w:sz w:val="32"/>
          <w:szCs w:val="32"/>
        </w:rPr>
        <w:t>。其中：</w:t>
      </w:r>
    </w:p>
    <w:p w14:paraId="3CFE779E">
      <w:pPr>
        <w:numPr>
          <w:ilvl w:val="0"/>
          <w:numId w:val="3"/>
        </w:numPr>
        <w:spacing w:line="600" w:lineRule="exact"/>
        <w:ind w:left="0" w:leftChars="0" w:firstLine="400" w:firstLineChars="0"/>
        <w:rPr>
          <w:rStyle w:val="19"/>
          <w:rFonts w:hint="eastAsia" w:ascii="仿宋" w:hAnsi="仿宋" w:eastAsia="仿宋" w:cstheme="minorBidi"/>
          <w:bCs/>
          <w:color w:val="auto"/>
          <w:sz w:val="32"/>
          <w:szCs w:val="32"/>
          <w:highlight w:val="none"/>
        </w:rPr>
      </w:pPr>
      <w:r>
        <w:rPr>
          <w:rStyle w:val="19"/>
          <w:rFonts w:hint="eastAsia" w:ascii="仿宋" w:hAnsi="仿宋" w:eastAsia="仿宋" w:cstheme="minorBidi"/>
          <w:bCs/>
          <w:color w:val="auto"/>
          <w:sz w:val="32"/>
          <w:szCs w:val="32"/>
          <w:highlight w:val="none"/>
        </w:rPr>
        <w:t>住房保障支出（类）住房改革支出（款）住房公积金（项）: 支出决算为78.29万元，完成预算</w:t>
      </w:r>
      <w:r>
        <w:rPr>
          <w:rStyle w:val="19"/>
          <w:rFonts w:hint="eastAsia" w:ascii="仿宋" w:hAnsi="仿宋" w:eastAsia="仿宋" w:cstheme="minorBidi"/>
          <w:bCs/>
          <w:color w:val="auto"/>
          <w:sz w:val="32"/>
          <w:szCs w:val="32"/>
          <w:highlight w:val="none"/>
          <w:lang w:val="en-US" w:eastAsia="zh-CN"/>
        </w:rPr>
        <w:t>100</w:t>
      </w:r>
      <w:r>
        <w:rPr>
          <w:rStyle w:val="19"/>
          <w:rFonts w:hint="eastAsia" w:ascii="仿宋" w:hAnsi="仿宋" w:eastAsia="仿宋" w:cstheme="minorBidi"/>
          <w:bCs/>
          <w:color w:val="auto"/>
          <w:sz w:val="32"/>
          <w:szCs w:val="32"/>
          <w:highlight w:val="none"/>
        </w:rPr>
        <w:t>%，决算数等于预算数。</w:t>
      </w:r>
    </w:p>
    <w:p w14:paraId="5F149F14">
      <w:pPr>
        <w:numPr>
          <w:ilvl w:val="0"/>
          <w:numId w:val="3"/>
        </w:numPr>
        <w:spacing w:line="600" w:lineRule="exact"/>
        <w:ind w:left="0" w:leftChars="0" w:firstLine="400" w:firstLineChars="0"/>
        <w:rPr>
          <w:rStyle w:val="19"/>
          <w:rFonts w:hint="eastAsia" w:ascii="仿宋" w:hAnsi="仿宋" w:eastAsia="仿宋" w:cstheme="minorBidi"/>
          <w:bCs/>
          <w:color w:val="auto"/>
          <w:sz w:val="32"/>
          <w:szCs w:val="32"/>
          <w:highlight w:val="none"/>
        </w:rPr>
      </w:pPr>
      <w:r>
        <w:rPr>
          <w:rStyle w:val="19"/>
          <w:rFonts w:hint="eastAsia" w:ascii="仿宋" w:hAnsi="仿宋" w:eastAsia="仿宋" w:cstheme="minorBidi"/>
          <w:bCs/>
          <w:color w:val="auto"/>
          <w:sz w:val="32"/>
          <w:szCs w:val="32"/>
          <w:highlight w:val="none"/>
        </w:rPr>
        <w:t>教育支出（类）普通教育（款）学前教育（项）: 支出决算为8.46万元，完成预算</w:t>
      </w:r>
      <w:r>
        <w:rPr>
          <w:rStyle w:val="19"/>
          <w:rFonts w:hint="eastAsia" w:ascii="仿宋" w:hAnsi="仿宋" w:eastAsia="仿宋" w:cstheme="minorBidi"/>
          <w:bCs/>
          <w:color w:val="auto"/>
          <w:sz w:val="32"/>
          <w:szCs w:val="32"/>
          <w:highlight w:val="none"/>
          <w:lang w:val="en-US" w:eastAsia="zh-CN"/>
        </w:rPr>
        <w:t>100</w:t>
      </w:r>
      <w:r>
        <w:rPr>
          <w:rStyle w:val="19"/>
          <w:rFonts w:hint="eastAsia" w:ascii="仿宋" w:hAnsi="仿宋" w:eastAsia="仿宋" w:cstheme="minorBidi"/>
          <w:bCs/>
          <w:color w:val="auto"/>
          <w:sz w:val="32"/>
          <w:szCs w:val="32"/>
          <w:highlight w:val="none"/>
        </w:rPr>
        <w:t>%，决算数等于预算数。</w:t>
      </w:r>
    </w:p>
    <w:p w14:paraId="37E95CC2">
      <w:pPr>
        <w:numPr>
          <w:ilvl w:val="0"/>
          <w:numId w:val="3"/>
        </w:numPr>
        <w:spacing w:line="600" w:lineRule="exact"/>
        <w:ind w:left="0" w:leftChars="0" w:firstLine="400" w:firstLineChars="0"/>
        <w:rPr>
          <w:rStyle w:val="19"/>
          <w:rFonts w:hint="eastAsia" w:ascii="仿宋" w:hAnsi="仿宋" w:eastAsia="仿宋" w:cstheme="minorBidi"/>
          <w:bCs/>
          <w:color w:val="auto"/>
          <w:sz w:val="32"/>
          <w:szCs w:val="32"/>
          <w:highlight w:val="none"/>
        </w:rPr>
      </w:pPr>
      <w:r>
        <w:rPr>
          <w:rStyle w:val="19"/>
          <w:rFonts w:hint="eastAsia" w:ascii="仿宋" w:hAnsi="仿宋" w:eastAsia="仿宋" w:cstheme="minorBidi"/>
          <w:bCs/>
          <w:color w:val="auto"/>
          <w:sz w:val="32"/>
          <w:szCs w:val="32"/>
          <w:highlight w:val="none"/>
        </w:rPr>
        <w:t>教育支出（类）普通教育（款）小学教育（项）: 支出决算为839.38万元，完成预算</w:t>
      </w:r>
      <w:r>
        <w:rPr>
          <w:rStyle w:val="19"/>
          <w:rFonts w:hint="eastAsia" w:ascii="仿宋" w:hAnsi="仿宋" w:eastAsia="仿宋" w:cstheme="minorBidi"/>
          <w:bCs/>
          <w:color w:val="auto"/>
          <w:sz w:val="32"/>
          <w:szCs w:val="32"/>
          <w:highlight w:val="none"/>
          <w:lang w:val="en-US" w:eastAsia="zh-CN"/>
        </w:rPr>
        <w:t>100</w:t>
      </w:r>
      <w:r>
        <w:rPr>
          <w:rStyle w:val="19"/>
          <w:rFonts w:hint="eastAsia" w:ascii="仿宋" w:hAnsi="仿宋" w:eastAsia="仿宋" w:cstheme="minorBidi"/>
          <w:bCs/>
          <w:color w:val="auto"/>
          <w:sz w:val="32"/>
          <w:szCs w:val="32"/>
          <w:highlight w:val="none"/>
        </w:rPr>
        <w:t>%，决算数等于预算数。</w:t>
      </w:r>
    </w:p>
    <w:p w14:paraId="483F09B9">
      <w:pPr>
        <w:numPr>
          <w:ilvl w:val="0"/>
          <w:numId w:val="3"/>
        </w:numPr>
        <w:spacing w:line="600" w:lineRule="exact"/>
        <w:ind w:left="0" w:leftChars="0" w:firstLine="400" w:firstLineChars="0"/>
        <w:rPr>
          <w:rStyle w:val="19"/>
          <w:rFonts w:hint="eastAsia" w:ascii="仿宋" w:hAnsi="仿宋" w:eastAsia="仿宋" w:cstheme="minorBidi"/>
          <w:bCs/>
          <w:color w:val="auto"/>
          <w:sz w:val="32"/>
          <w:szCs w:val="32"/>
          <w:highlight w:val="none"/>
        </w:rPr>
      </w:pPr>
      <w:r>
        <w:rPr>
          <w:rStyle w:val="19"/>
          <w:rFonts w:hint="eastAsia" w:ascii="仿宋" w:hAnsi="仿宋" w:eastAsia="仿宋" w:cstheme="minorBidi"/>
          <w:bCs/>
          <w:color w:val="auto"/>
          <w:sz w:val="32"/>
          <w:szCs w:val="32"/>
          <w:highlight w:val="none"/>
        </w:rPr>
        <w:t>社会保障和就业（类）行政事业单位养老支出（款）机关事业单位基本养老保险缴费支出（项）: 支出决算为100.73万元，完成预算</w:t>
      </w:r>
      <w:r>
        <w:rPr>
          <w:rStyle w:val="19"/>
          <w:rFonts w:hint="eastAsia" w:ascii="仿宋" w:hAnsi="仿宋" w:eastAsia="仿宋" w:cstheme="minorBidi"/>
          <w:bCs/>
          <w:color w:val="auto"/>
          <w:sz w:val="32"/>
          <w:szCs w:val="32"/>
          <w:highlight w:val="none"/>
          <w:lang w:val="en-US" w:eastAsia="zh-CN"/>
        </w:rPr>
        <w:t>100</w:t>
      </w:r>
      <w:r>
        <w:rPr>
          <w:rStyle w:val="19"/>
          <w:rFonts w:hint="eastAsia" w:ascii="仿宋" w:hAnsi="仿宋" w:eastAsia="仿宋" w:cstheme="minorBidi"/>
          <w:bCs/>
          <w:color w:val="auto"/>
          <w:sz w:val="32"/>
          <w:szCs w:val="32"/>
          <w:highlight w:val="none"/>
        </w:rPr>
        <w:t>%，决算数等于预算数。</w:t>
      </w:r>
    </w:p>
    <w:p w14:paraId="26FB3C81">
      <w:pPr>
        <w:numPr>
          <w:ilvl w:val="0"/>
          <w:numId w:val="3"/>
        </w:numPr>
        <w:spacing w:line="600" w:lineRule="exact"/>
        <w:ind w:left="0" w:leftChars="0" w:firstLine="400" w:firstLineChars="0"/>
        <w:rPr>
          <w:rStyle w:val="19"/>
          <w:rFonts w:hint="eastAsia" w:ascii="仿宋" w:hAnsi="仿宋" w:eastAsia="仿宋" w:cstheme="minorBidi"/>
          <w:bCs/>
          <w:color w:val="auto"/>
          <w:sz w:val="32"/>
          <w:szCs w:val="32"/>
          <w:highlight w:val="none"/>
        </w:rPr>
      </w:pPr>
      <w:r>
        <w:rPr>
          <w:rStyle w:val="19"/>
          <w:rFonts w:hint="eastAsia" w:ascii="仿宋" w:hAnsi="仿宋" w:eastAsia="仿宋" w:cstheme="minorBidi"/>
          <w:bCs/>
          <w:color w:val="auto"/>
          <w:sz w:val="32"/>
          <w:szCs w:val="32"/>
          <w:highlight w:val="none"/>
        </w:rPr>
        <w:t>社会保障和就业（类）行政事业单位养老支出（款）事业单位离退休（项）: 支出决算为46.75万元，完成预算</w:t>
      </w:r>
      <w:r>
        <w:rPr>
          <w:rStyle w:val="19"/>
          <w:rFonts w:hint="eastAsia" w:ascii="仿宋" w:hAnsi="仿宋" w:eastAsia="仿宋" w:cstheme="minorBidi"/>
          <w:bCs/>
          <w:color w:val="auto"/>
          <w:sz w:val="32"/>
          <w:szCs w:val="32"/>
          <w:highlight w:val="none"/>
          <w:lang w:val="en-US" w:eastAsia="zh-CN"/>
        </w:rPr>
        <w:t>100</w:t>
      </w:r>
      <w:r>
        <w:rPr>
          <w:rStyle w:val="19"/>
          <w:rFonts w:hint="eastAsia" w:ascii="仿宋" w:hAnsi="仿宋" w:eastAsia="仿宋" w:cstheme="minorBidi"/>
          <w:bCs/>
          <w:color w:val="auto"/>
          <w:sz w:val="32"/>
          <w:szCs w:val="32"/>
          <w:highlight w:val="none"/>
        </w:rPr>
        <w:t>%，决算数等于预算数。</w:t>
      </w:r>
    </w:p>
    <w:p w14:paraId="4BDABB05">
      <w:pPr>
        <w:numPr>
          <w:ilvl w:val="0"/>
          <w:numId w:val="3"/>
        </w:numPr>
        <w:spacing w:line="600" w:lineRule="exact"/>
        <w:ind w:left="0" w:leftChars="0" w:firstLine="400" w:firstLineChars="0"/>
        <w:rPr>
          <w:rStyle w:val="19"/>
          <w:rFonts w:hint="eastAsia" w:ascii="仿宋" w:hAnsi="仿宋" w:eastAsia="仿宋" w:cstheme="minorBidi"/>
          <w:bCs/>
          <w:color w:val="auto"/>
          <w:sz w:val="32"/>
          <w:szCs w:val="32"/>
          <w:highlight w:val="none"/>
        </w:rPr>
      </w:pPr>
      <w:r>
        <w:rPr>
          <w:rStyle w:val="19"/>
          <w:rFonts w:hint="eastAsia" w:ascii="仿宋" w:hAnsi="仿宋" w:eastAsia="仿宋" w:cstheme="minorBidi"/>
          <w:bCs/>
          <w:color w:val="auto"/>
          <w:sz w:val="32"/>
          <w:szCs w:val="32"/>
          <w:highlight w:val="none"/>
        </w:rPr>
        <w:t>社会保障和就业支出（类）其他社会保障和就业支出（款）其他社会保障和就业支出（项）: 支出决算为5.41万元，完成预算</w:t>
      </w:r>
      <w:r>
        <w:rPr>
          <w:rStyle w:val="19"/>
          <w:rFonts w:hint="eastAsia" w:ascii="仿宋" w:hAnsi="仿宋" w:eastAsia="仿宋" w:cstheme="minorBidi"/>
          <w:bCs/>
          <w:color w:val="auto"/>
          <w:sz w:val="32"/>
          <w:szCs w:val="32"/>
          <w:highlight w:val="none"/>
          <w:lang w:val="en-US" w:eastAsia="zh-CN"/>
        </w:rPr>
        <w:t>100</w:t>
      </w:r>
      <w:r>
        <w:rPr>
          <w:rStyle w:val="19"/>
          <w:rFonts w:hint="eastAsia" w:ascii="仿宋" w:hAnsi="仿宋" w:eastAsia="仿宋" w:cstheme="minorBidi"/>
          <w:bCs/>
          <w:color w:val="auto"/>
          <w:sz w:val="32"/>
          <w:szCs w:val="32"/>
          <w:highlight w:val="none"/>
        </w:rPr>
        <w:t>%，决算数等于预算数。</w:t>
      </w:r>
    </w:p>
    <w:p w14:paraId="7CCC8DE2">
      <w:pPr>
        <w:numPr>
          <w:ilvl w:val="0"/>
          <w:numId w:val="3"/>
        </w:numPr>
        <w:spacing w:line="600" w:lineRule="exact"/>
        <w:ind w:left="0" w:leftChars="0" w:firstLine="400" w:firstLineChars="0"/>
        <w:rPr>
          <w:rStyle w:val="19"/>
          <w:rFonts w:hint="eastAsia" w:ascii="仿宋" w:hAnsi="仿宋" w:eastAsia="仿宋" w:cstheme="minorBidi"/>
          <w:bCs/>
          <w:color w:val="auto"/>
          <w:sz w:val="32"/>
          <w:szCs w:val="32"/>
          <w:highlight w:val="none"/>
        </w:rPr>
      </w:pPr>
      <w:r>
        <w:rPr>
          <w:rStyle w:val="19"/>
          <w:rFonts w:hint="eastAsia" w:ascii="仿宋" w:hAnsi="仿宋" w:eastAsia="仿宋" w:cstheme="minorBidi"/>
          <w:bCs/>
          <w:color w:val="auto"/>
          <w:sz w:val="32"/>
          <w:szCs w:val="32"/>
          <w:highlight w:val="none"/>
        </w:rPr>
        <w:t>卫生健康支出（类）行政事业单位医疗（款）事业单位医疗（项）: 支出决算为37.75万元，完成预算</w:t>
      </w:r>
      <w:r>
        <w:rPr>
          <w:rStyle w:val="19"/>
          <w:rFonts w:hint="eastAsia" w:ascii="仿宋" w:hAnsi="仿宋" w:eastAsia="仿宋" w:cstheme="minorBidi"/>
          <w:bCs/>
          <w:color w:val="auto"/>
          <w:sz w:val="32"/>
          <w:szCs w:val="32"/>
          <w:highlight w:val="none"/>
          <w:lang w:val="en-US" w:eastAsia="zh-CN"/>
        </w:rPr>
        <w:t>100</w:t>
      </w:r>
      <w:r>
        <w:rPr>
          <w:rStyle w:val="19"/>
          <w:rFonts w:hint="eastAsia" w:ascii="仿宋" w:hAnsi="仿宋" w:eastAsia="仿宋" w:cstheme="minorBidi"/>
          <w:bCs/>
          <w:color w:val="auto"/>
          <w:sz w:val="32"/>
          <w:szCs w:val="32"/>
          <w:highlight w:val="none"/>
        </w:rPr>
        <w:t>%，决算数等于预算数。</w:t>
      </w:r>
    </w:p>
    <w:p w14:paraId="43DD7692">
      <w:pPr>
        <w:numPr>
          <w:ilvl w:val="0"/>
          <w:numId w:val="3"/>
        </w:numPr>
        <w:spacing w:line="600" w:lineRule="exact"/>
        <w:ind w:left="0" w:leftChars="0" w:firstLine="400" w:firstLineChars="0"/>
        <w:rPr>
          <w:rStyle w:val="19"/>
          <w:rFonts w:hint="eastAsia" w:ascii="仿宋" w:hAnsi="仿宋" w:eastAsia="仿宋" w:cstheme="minorBidi"/>
          <w:bCs/>
          <w:color w:val="auto"/>
          <w:sz w:val="32"/>
          <w:szCs w:val="32"/>
          <w:highlight w:val="none"/>
        </w:rPr>
      </w:pPr>
      <w:r>
        <w:rPr>
          <w:rStyle w:val="19"/>
          <w:rFonts w:hint="eastAsia" w:ascii="仿宋" w:hAnsi="仿宋" w:eastAsia="仿宋" w:cstheme="minorBidi"/>
          <w:bCs/>
          <w:color w:val="auto"/>
          <w:sz w:val="32"/>
          <w:szCs w:val="32"/>
          <w:highlight w:val="none"/>
        </w:rPr>
        <w:t>卫生健康支出（类）行政事业单位医疗（款）其他行政事业单位医疗支出（项）: 支出决算为3.30万元，完成预算</w:t>
      </w:r>
      <w:r>
        <w:rPr>
          <w:rStyle w:val="19"/>
          <w:rFonts w:hint="eastAsia" w:ascii="仿宋" w:hAnsi="仿宋" w:eastAsia="仿宋" w:cstheme="minorBidi"/>
          <w:bCs/>
          <w:color w:val="auto"/>
          <w:sz w:val="32"/>
          <w:szCs w:val="32"/>
          <w:highlight w:val="none"/>
          <w:lang w:val="en-US" w:eastAsia="zh-CN"/>
        </w:rPr>
        <w:t>100</w:t>
      </w:r>
      <w:r>
        <w:rPr>
          <w:rStyle w:val="19"/>
          <w:rFonts w:hint="eastAsia" w:ascii="仿宋" w:hAnsi="仿宋" w:eastAsia="仿宋" w:cstheme="minorBidi"/>
          <w:bCs/>
          <w:color w:val="auto"/>
          <w:sz w:val="32"/>
          <w:szCs w:val="32"/>
          <w:highlight w:val="none"/>
        </w:rPr>
        <w:t>%，决算数等于预算数。</w:t>
      </w:r>
    </w:p>
    <w:p w14:paraId="1693D245">
      <w:pPr>
        <w:numPr>
          <w:ilvl w:val="0"/>
          <w:numId w:val="3"/>
        </w:numPr>
        <w:spacing w:line="600" w:lineRule="exact"/>
        <w:ind w:left="0" w:leftChars="0" w:firstLine="400" w:firstLineChars="0"/>
        <w:rPr>
          <w:rStyle w:val="19"/>
          <w:rFonts w:hint="eastAsia" w:ascii="仿宋" w:hAnsi="仿宋" w:eastAsia="仿宋" w:cstheme="minorBidi"/>
          <w:bCs/>
          <w:color w:val="auto"/>
          <w:sz w:val="32"/>
          <w:szCs w:val="32"/>
          <w:highlight w:val="none"/>
        </w:rPr>
      </w:pPr>
      <w:r>
        <w:rPr>
          <w:rStyle w:val="19"/>
          <w:rFonts w:hint="eastAsia" w:ascii="仿宋" w:hAnsi="仿宋" w:eastAsia="仿宋" w:cstheme="minorBidi"/>
          <w:bCs/>
          <w:color w:val="auto"/>
          <w:sz w:val="32"/>
          <w:szCs w:val="32"/>
          <w:highlight w:val="none"/>
        </w:rPr>
        <w:t>农林水支出（类）巩固脱贫衔接乡村振兴（款）社会发展（项）: 支出决算为7.21万元，完成预算</w:t>
      </w:r>
      <w:r>
        <w:rPr>
          <w:rStyle w:val="19"/>
          <w:rFonts w:hint="eastAsia" w:ascii="仿宋" w:hAnsi="仿宋" w:eastAsia="仿宋" w:cstheme="minorBidi"/>
          <w:bCs/>
          <w:color w:val="auto"/>
          <w:sz w:val="32"/>
          <w:szCs w:val="32"/>
          <w:highlight w:val="none"/>
          <w:lang w:val="en-US" w:eastAsia="zh-CN"/>
        </w:rPr>
        <w:t>100</w:t>
      </w:r>
      <w:r>
        <w:rPr>
          <w:rStyle w:val="19"/>
          <w:rFonts w:hint="eastAsia" w:ascii="仿宋" w:hAnsi="仿宋" w:eastAsia="仿宋" w:cstheme="minorBidi"/>
          <w:bCs/>
          <w:color w:val="auto"/>
          <w:sz w:val="32"/>
          <w:szCs w:val="32"/>
          <w:highlight w:val="none"/>
        </w:rPr>
        <w:t>%，决算数等于预算数。</w:t>
      </w:r>
    </w:p>
    <w:p w14:paraId="27D9124F">
      <w:pPr>
        <w:tabs>
          <w:tab w:val="right" w:pos="8306"/>
        </w:tabs>
        <w:spacing w:line="600" w:lineRule="exact"/>
        <w:ind w:firstLine="640"/>
        <w:outlineLvl w:val="1"/>
        <w:rPr>
          <w:rStyle w:val="31"/>
        </w:rPr>
      </w:pPr>
      <w:bookmarkStart w:id="48" w:name="_Toc15377214"/>
      <w:bookmarkStart w:id="49" w:name="_Toc15396608"/>
      <w:bookmarkStart w:id="50" w:name="_Toc30026"/>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1"/>
          <w:rFonts w:hint="eastAsia" w:ascii="黑体" w:hAnsi="黑体" w:eastAsia="黑体"/>
          <w:b w:val="0"/>
        </w:rPr>
        <w:t>般公共预算财政拨款基本支出决算情况说明</w:t>
      </w:r>
      <w:bookmarkEnd w:id="48"/>
      <w:bookmarkEnd w:id="49"/>
      <w:bookmarkEnd w:id="50"/>
      <w:r>
        <w:rPr>
          <w:rStyle w:val="31"/>
          <w:rFonts w:ascii="黑体" w:hAnsi="黑体" w:eastAsia="黑体"/>
          <w:b w:val="0"/>
        </w:rPr>
        <w:tab/>
      </w:r>
    </w:p>
    <w:p w14:paraId="3F305385">
      <w:pPr>
        <w:spacing w:line="600"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2023年度一般公共预算财政拨款基本支出1120.07万元，其中：</w:t>
      </w:r>
    </w:p>
    <w:p w14:paraId="5FD6ADBD">
      <w:pPr>
        <w:spacing w:line="600" w:lineRule="exact"/>
        <w:ind w:firstLine="640" w:firstLineChars="200"/>
        <w:rPr>
          <w:rFonts w:hint="eastAsia" w:ascii="仿宋" w:hAnsi="仿宋" w:eastAsia="仿宋"/>
          <w:sz w:val="32"/>
          <w:szCs w:val="32"/>
          <w:lang w:val="zh-CN" w:eastAsia="zh-CN"/>
        </w:rPr>
      </w:pPr>
      <w:r>
        <w:rPr>
          <w:rFonts w:hint="eastAsia" w:ascii="仿宋" w:hAnsi="仿宋" w:eastAsia="仿宋"/>
          <w:sz w:val="32"/>
          <w:szCs w:val="32"/>
          <w:lang w:val="en-US" w:eastAsia="zh-CN"/>
        </w:rPr>
        <w:t>人员经费1050.93万元，主要包括：基本工资、津贴补贴、绩效工资、机关事业单位基本养老保险缴费、职业年金缴费、其他社会保障缴费、其他工资福利支出、离休费、退休费、抚恤金、生活补助、医疗费补助、奖励金、住房公积金、其他对个人和家庭的补助支出等</w:t>
      </w:r>
      <w:r>
        <w:rPr>
          <w:rFonts w:hint="eastAsia" w:ascii="仿宋" w:hAnsi="仿宋" w:eastAsia="仿宋"/>
          <w:sz w:val="32"/>
          <w:szCs w:val="32"/>
          <w:lang w:val="zh-CN" w:eastAsia="zh-CN"/>
        </w:rPr>
        <w:t>。</w:t>
      </w:r>
    </w:p>
    <w:p w14:paraId="2BA476DF">
      <w:pPr>
        <w:spacing w:line="600" w:lineRule="exact"/>
        <w:ind w:firstLine="640" w:firstLineChars="200"/>
        <w:rPr>
          <w:rFonts w:ascii="仿宋" w:hAnsi="仿宋" w:eastAsia="仿宋"/>
          <w:sz w:val="32"/>
          <w:szCs w:val="32"/>
        </w:rPr>
      </w:pPr>
      <w:r>
        <w:rPr>
          <w:rFonts w:hint="eastAsia" w:ascii="仿宋" w:hAnsi="仿宋" w:eastAsia="仿宋"/>
          <w:sz w:val="32"/>
          <w:szCs w:val="32"/>
          <w:lang w:val="en-US" w:eastAsia="zh-CN"/>
        </w:rPr>
        <w:t>公用经费69.15万元，主要包括：办公费、印刷费、咨询费、水费、电费、邮电费、取暖费、差旅费、因公出国（境）费用、维修（护）费、会议费、培训费、公务接待费、劳务费、委托业务费、工会经费、福利费、公务用车运行维护费、其他交通费、其他商品和服务支出、办公设备购置、专用设</w:t>
      </w:r>
      <w:r>
        <w:rPr>
          <w:rFonts w:hint="eastAsia" w:ascii="仿宋" w:hAnsi="仿宋" w:eastAsia="仿宋"/>
          <w:sz w:val="32"/>
          <w:szCs w:val="32"/>
        </w:rPr>
        <w:t>备购置、信息网络及软件购置更新、其他资本性支出等。</w:t>
      </w:r>
    </w:p>
    <w:p w14:paraId="4A6F8917">
      <w:pPr>
        <w:spacing w:line="600" w:lineRule="exact"/>
        <w:ind w:firstLine="640"/>
        <w:outlineLvl w:val="1"/>
        <w:rPr>
          <w:rStyle w:val="31"/>
          <w:rFonts w:ascii="黑体" w:hAnsi="黑体" w:eastAsia="黑体"/>
          <w:b w:val="0"/>
        </w:rPr>
      </w:pPr>
      <w:bookmarkStart w:id="51" w:name="_Toc15377215"/>
      <w:bookmarkStart w:id="52" w:name="_Toc9766"/>
      <w:bookmarkStart w:id="53" w:name="_Toc15396609"/>
      <w:r>
        <w:rPr>
          <w:rFonts w:hint="eastAsia" w:ascii="黑体" w:eastAsia="黑体"/>
          <w:sz w:val="32"/>
          <w:szCs w:val="32"/>
        </w:rPr>
        <w:t>七、</w:t>
      </w:r>
      <w:r>
        <w:rPr>
          <w:rStyle w:val="31"/>
          <w:rFonts w:hint="eastAsia" w:ascii="黑体" w:hAnsi="黑体" w:eastAsia="黑体"/>
          <w:b w:val="0"/>
        </w:rPr>
        <w:t>财政拨款</w:t>
      </w:r>
      <w:r>
        <w:rPr>
          <w:rStyle w:val="31"/>
          <w:rFonts w:hint="eastAsia" w:ascii="黑体" w:hAnsi="黑体" w:eastAsia="黑体"/>
        </w:rPr>
        <w:t>“</w:t>
      </w:r>
      <w:r>
        <w:rPr>
          <w:rStyle w:val="31"/>
          <w:rFonts w:hint="eastAsia" w:ascii="黑体" w:hAnsi="黑体" w:eastAsia="黑体"/>
          <w:b w:val="0"/>
        </w:rPr>
        <w:t>三公”经费支出决算情况说明</w:t>
      </w:r>
      <w:bookmarkEnd w:id="51"/>
      <w:bookmarkEnd w:id="52"/>
      <w:bookmarkEnd w:id="53"/>
    </w:p>
    <w:p w14:paraId="5AAE1754">
      <w:pPr>
        <w:spacing w:line="600" w:lineRule="exact"/>
        <w:ind w:firstLine="640"/>
        <w:outlineLvl w:val="2"/>
        <w:rPr>
          <w:rFonts w:ascii="仿宋" w:hAnsi="仿宋" w:eastAsia="仿宋"/>
          <w:b/>
          <w:sz w:val="32"/>
          <w:szCs w:val="32"/>
        </w:rPr>
      </w:pPr>
      <w:bookmarkStart w:id="54" w:name="_Toc15377216"/>
      <w:r>
        <w:rPr>
          <w:rFonts w:hint="eastAsia" w:ascii="仿宋" w:hAnsi="仿宋" w:eastAsia="仿宋"/>
          <w:b/>
          <w:sz w:val="32"/>
          <w:szCs w:val="32"/>
        </w:rPr>
        <w:t>（一）“三公”经费财政拨款支出决算总体情况说明</w:t>
      </w:r>
      <w:bookmarkEnd w:id="54"/>
    </w:p>
    <w:p w14:paraId="6A775C8B">
      <w:pPr>
        <w:spacing w:line="600"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2023年度“三公”经费财政拨款支出决算为0.22万元，完成预算100%，较上年度减少0.03万元，下降12%。决算数与预算数持平。</w:t>
      </w:r>
    </w:p>
    <w:p w14:paraId="25A1A5AE">
      <w:pPr>
        <w:spacing w:line="600" w:lineRule="exact"/>
        <w:ind w:firstLine="640"/>
        <w:outlineLvl w:val="2"/>
        <w:rPr>
          <w:rFonts w:ascii="仿宋" w:hAnsi="仿宋" w:eastAsia="仿宋"/>
          <w:b/>
          <w:sz w:val="32"/>
          <w:szCs w:val="32"/>
        </w:rPr>
      </w:pPr>
      <w:bookmarkStart w:id="55" w:name="_Toc15377217"/>
      <w:r>
        <w:rPr>
          <w:rFonts w:hint="eastAsia" w:ascii="仿宋" w:hAnsi="仿宋" w:eastAsia="仿宋"/>
          <w:b/>
          <w:sz w:val="32"/>
          <w:szCs w:val="32"/>
        </w:rPr>
        <w:t>（二）“三公”经费财政拨款支出决算具体情况说明</w:t>
      </w:r>
      <w:bookmarkEnd w:id="55"/>
    </w:p>
    <w:p w14:paraId="3CD48F66">
      <w:pPr>
        <w:spacing w:line="600"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2023年度“三公”经费财政拨款支出决算中，因公出国（境）费支出决算0万元，占0%；公务用车购置及运行维护费支出决算0万元，占0%；公务接待费支出决算0.22万元，占100%。具体情况如下：</w:t>
      </w:r>
    </w:p>
    <w:p w14:paraId="32255B6A">
      <w:pPr>
        <w:spacing w:line="600" w:lineRule="exact"/>
        <w:ind w:firstLine="640"/>
        <w:rPr>
          <w:rFonts w:hint="eastAsia" w:ascii="仿宋" w:hAnsi="仿宋" w:eastAsia="仿宋"/>
          <w:sz w:val="32"/>
          <w:szCs w:val="32"/>
        </w:rPr>
      </w:pPr>
      <w:r>
        <w:rPr>
          <w:rFonts w:hint="eastAsia" w:ascii="仿宋" w:hAnsi="仿宋" w:eastAsia="仿宋"/>
          <w:sz w:val="32"/>
          <w:szCs w:val="32"/>
        </w:rPr>
        <w:t>（图7：“三公”经费财政拨款支出结构）（饼状图）</w:t>
      </w:r>
    </w:p>
    <w:p w14:paraId="47B8F5AE">
      <w:pPr>
        <w:pStyle w:val="2"/>
      </w:pPr>
      <w:r>
        <w:drawing>
          <wp:anchor distT="0" distB="0" distL="114300" distR="114300" simplePos="0" relativeHeight="251665408" behindDoc="0" locked="0" layoutInCell="1" allowOverlap="1">
            <wp:simplePos x="0" y="0"/>
            <wp:positionH relativeFrom="column">
              <wp:posOffset>410845</wp:posOffset>
            </wp:positionH>
            <wp:positionV relativeFrom="paragraph">
              <wp:posOffset>-2545715</wp:posOffset>
            </wp:positionV>
            <wp:extent cx="3950970" cy="2776855"/>
            <wp:effectExtent l="4445" t="4445" r="6985" b="53340"/>
            <wp:wrapTopAndBottom/>
            <wp:docPr id="4" name="图表 3" descr="7b0a202020202263686172745265734964223a202232303437323230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118E6070">
      <w:pPr>
        <w:spacing w:line="600" w:lineRule="exact"/>
        <w:ind w:firstLine="640"/>
        <w:rPr>
          <w:rFonts w:hint="eastAsia" w:ascii="仿宋" w:hAnsi="仿宋" w:eastAsia="仿宋"/>
          <w:sz w:val="32"/>
          <w:szCs w:val="32"/>
          <w:lang w:val="en-US" w:eastAsia="zh-CN"/>
        </w:rPr>
      </w:pPr>
      <w:bookmarkStart w:id="56" w:name="_Toc15377218"/>
      <w:bookmarkStart w:id="57" w:name="_Toc15396610"/>
      <w:r>
        <w:rPr>
          <w:rFonts w:ascii="仿宋_GB2312" w:eastAsia="仿宋_GB2312"/>
          <w:b/>
          <w:sz w:val="32"/>
          <w:szCs w:val="32"/>
        </w:rPr>
        <w:t>1.</w:t>
      </w:r>
      <w:r>
        <w:rPr>
          <w:rFonts w:hint="eastAsia" w:ascii="仿宋_GB2312" w:eastAsia="仿宋_GB2312"/>
          <w:b/>
          <w:sz w:val="32"/>
          <w:szCs w:val="32"/>
        </w:rPr>
        <w:t>因公出国（境）经费支出</w:t>
      </w:r>
      <w:r>
        <w:rPr>
          <w:rFonts w:ascii="仿宋" w:hAnsi="仿宋" w:eastAsia="仿宋"/>
          <w:b/>
          <w:sz w:val="32"/>
          <w:szCs w:val="32"/>
        </w:rPr>
        <w:t>0</w:t>
      </w:r>
      <w:r>
        <w:rPr>
          <w:rFonts w:hint="eastAsia" w:ascii="仿宋_GB2312" w:eastAsia="仿宋_GB2312"/>
          <w:sz w:val="32"/>
          <w:szCs w:val="32"/>
        </w:rPr>
        <w:t>万元，</w:t>
      </w:r>
      <w:r>
        <w:rPr>
          <w:rFonts w:hint="eastAsia" w:ascii="仿宋" w:hAnsi="仿宋" w:eastAsia="仿宋"/>
          <w:sz w:val="32"/>
          <w:szCs w:val="32"/>
          <w:lang w:val="en-US" w:eastAsia="zh-CN"/>
        </w:rPr>
        <w:t>完成预算0%。全年安排因公出国（境）团组0次，出国（境）0人。</w:t>
      </w:r>
    </w:p>
    <w:p w14:paraId="5ABE9DDA">
      <w:pPr>
        <w:spacing w:line="600" w:lineRule="exact"/>
        <w:ind w:firstLine="640"/>
        <w:rPr>
          <w:rFonts w:hint="eastAsia" w:ascii="仿宋" w:hAnsi="仿宋" w:eastAsia="仿宋"/>
          <w:sz w:val="32"/>
          <w:szCs w:val="32"/>
          <w:lang w:val="en-US" w:eastAsia="zh-CN"/>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ascii="仿宋" w:hAnsi="仿宋" w:eastAsia="仿宋"/>
          <w:b/>
          <w:sz w:val="32"/>
          <w:szCs w:val="32"/>
        </w:rPr>
        <w:t>0</w:t>
      </w:r>
      <w:r>
        <w:rPr>
          <w:rFonts w:hint="eastAsia" w:ascii="仿宋_GB2312" w:eastAsia="仿宋_GB2312"/>
          <w:sz w:val="32"/>
          <w:szCs w:val="32"/>
        </w:rPr>
        <w:t>万元,</w:t>
      </w:r>
      <w:r>
        <w:rPr>
          <w:rFonts w:hint="eastAsia" w:ascii="仿宋" w:hAnsi="仿宋" w:eastAsia="仿宋"/>
          <w:sz w:val="32"/>
          <w:szCs w:val="32"/>
          <w:lang w:val="en-US" w:eastAsia="zh-CN"/>
        </w:rPr>
        <w:t>完成预算0%。公务用车购置及运行维护费支出决算比2022年度持平，2023年度我单位未产生公务用车购置及运行维护费。</w:t>
      </w:r>
    </w:p>
    <w:p w14:paraId="39204390">
      <w:pPr>
        <w:spacing w:line="600" w:lineRule="exact"/>
        <w:ind w:firstLine="640" w:firstLineChars="200"/>
        <w:rPr>
          <w:rFonts w:hint="eastAsia" w:ascii="仿宋" w:hAnsi="仿宋" w:eastAsia="仿宋"/>
          <w:sz w:val="32"/>
          <w:szCs w:val="32"/>
          <w:lang w:val="en-US" w:eastAsia="zh-CN"/>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ascii="仿宋" w:hAnsi="仿宋" w:eastAsia="仿宋"/>
          <w:b/>
          <w:sz w:val="32"/>
          <w:szCs w:val="32"/>
        </w:rPr>
        <w:t>0</w:t>
      </w:r>
      <w:r>
        <w:rPr>
          <w:rFonts w:hint="eastAsia" w:ascii="仿宋_GB2312" w:eastAsia="仿宋_GB2312"/>
          <w:sz w:val="32"/>
          <w:szCs w:val="32"/>
        </w:rPr>
        <w:t>万元。</w:t>
      </w:r>
      <w:r>
        <w:rPr>
          <w:rFonts w:hint="eastAsia" w:ascii="仿宋" w:hAnsi="仿宋" w:eastAsia="仿宋"/>
          <w:sz w:val="32"/>
          <w:szCs w:val="32"/>
          <w:lang w:val="en-US" w:eastAsia="zh-CN"/>
        </w:rPr>
        <w:t>全年按规定更新购置公务用车0辆，其中：轿车0辆、金额0万元，越野车0辆、金额0万元，载客汽车0辆、金额0万元，截至2023年12月31日，单位共有公务用车0辆，其中：轿车0辆、越野车0辆、载客汽车0辆。</w:t>
      </w:r>
    </w:p>
    <w:p w14:paraId="1DBDAC08">
      <w:pPr>
        <w:spacing w:line="600" w:lineRule="exact"/>
        <w:ind w:firstLine="640"/>
        <w:rPr>
          <w:rFonts w:hint="eastAsia" w:ascii="仿宋_GB2312" w:eastAsia="仿宋_GB2312"/>
          <w:sz w:val="32"/>
          <w:szCs w:val="32"/>
        </w:rPr>
      </w:pPr>
      <w:r>
        <w:rPr>
          <w:rFonts w:hint="eastAsia" w:ascii="仿宋_GB2312" w:eastAsia="仿宋_GB2312"/>
          <w:b/>
          <w:sz w:val="32"/>
          <w:szCs w:val="32"/>
        </w:rPr>
        <w:t>公务用车运行维护费支出</w:t>
      </w:r>
      <w:r>
        <w:rPr>
          <w:rFonts w:ascii="仿宋" w:hAnsi="仿宋" w:eastAsia="仿宋"/>
          <w:b/>
          <w:sz w:val="32"/>
          <w:szCs w:val="32"/>
        </w:rPr>
        <w:t>0</w:t>
      </w:r>
      <w:r>
        <w:rPr>
          <w:rFonts w:hint="eastAsia" w:ascii="仿宋_GB2312" w:eastAsia="仿宋_GB2312"/>
          <w:sz w:val="32"/>
          <w:szCs w:val="32"/>
        </w:rPr>
        <w:t>万元。</w:t>
      </w:r>
    </w:p>
    <w:p w14:paraId="01D5DA76">
      <w:pPr>
        <w:spacing w:line="600" w:lineRule="exact"/>
        <w:ind w:firstLine="640"/>
        <w:rPr>
          <w:rFonts w:hint="eastAsia" w:ascii="仿宋" w:hAnsi="仿宋" w:eastAsia="仿宋"/>
          <w:sz w:val="32"/>
          <w:szCs w:val="32"/>
          <w:lang w:val="en-US" w:eastAsia="zh-CN"/>
        </w:rPr>
      </w:pPr>
      <w:r>
        <w:rPr>
          <w:rFonts w:ascii="仿宋_GB2312" w:eastAsia="仿宋_GB2312"/>
          <w:b/>
          <w:sz w:val="32"/>
          <w:szCs w:val="32"/>
        </w:rPr>
        <w:t>3.</w:t>
      </w:r>
      <w:r>
        <w:rPr>
          <w:rFonts w:hint="eastAsia" w:ascii="仿宋_GB2312" w:eastAsia="仿宋_GB2312"/>
          <w:b/>
          <w:sz w:val="32"/>
          <w:szCs w:val="32"/>
        </w:rPr>
        <w:t>公务接待费支出</w:t>
      </w:r>
      <w:r>
        <w:rPr>
          <w:rFonts w:ascii="仿宋" w:hAnsi="仿宋" w:eastAsia="仿宋"/>
          <w:b/>
          <w:sz w:val="32"/>
          <w:szCs w:val="32"/>
        </w:rPr>
        <w:t>0.22</w:t>
      </w:r>
      <w:r>
        <w:rPr>
          <w:rFonts w:hint="eastAsia" w:ascii="仿宋_GB2312" w:eastAsia="仿宋_GB2312"/>
          <w:sz w:val="32"/>
          <w:szCs w:val="32"/>
        </w:rPr>
        <w:t>万元，</w:t>
      </w:r>
      <w:r>
        <w:rPr>
          <w:rFonts w:hint="eastAsia" w:ascii="仿宋" w:hAnsi="仿宋" w:eastAsia="仿宋"/>
          <w:sz w:val="32"/>
          <w:szCs w:val="32"/>
          <w:lang w:val="en-US" w:eastAsia="zh-CN"/>
        </w:rPr>
        <w:t>完成预算100%。公务接待费支出决算比2022年度减少0.03万元，下降12%。主要原因是单位厉行节约，减少了公务接待支出。其中：</w:t>
      </w:r>
    </w:p>
    <w:p w14:paraId="0963CC3C">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ascii="仿宋" w:hAnsi="仿宋" w:eastAsia="仿宋"/>
          <w:b/>
          <w:sz w:val="32"/>
          <w:szCs w:val="32"/>
        </w:rPr>
        <w:t>0.22</w:t>
      </w:r>
      <w:r>
        <w:rPr>
          <w:rFonts w:hint="eastAsia" w:ascii="仿宋_GB2312" w:eastAsia="仿宋_GB2312"/>
          <w:sz w:val="32"/>
          <w:szCs w:val="32"/>
        </w:rPr>
        <w:t>万元，</w:t>
      </w:r>
      <w:r>
        <w:rPr>
          <w:rFonts w:hint="eastAsia" w:ascii="仿宋" w:hAnsi="仿宋" w:eastAsia="仿宋"/>
          <w:sz w:val="32"/>
          <w:szCs w:val="32"/>
          <w:lang w:val="en-US" w:eastAsia="zh-CN"/>
        </w:rPr>
        <w:t>主要用于执行公务、开展业务活动开支的交通费、住宿费、用餐费等。国内公务接待5批次，60人次（不包括陪同人员），共计支出0.22万元，具体用于接待教体相关公务工作0.22万元</w:t>
      </w:r>
      <w:r>
        <w:rPr>
          <w:rFonts w:hint="eastAsia" w:ascii="仿宋_GB2312" w:eastAsia="仿宋_GB2312"/>
          <w:sz w:val="32"/>
          <w:szCs w:val="32"/>
        </w:rPr>
        <w:t>。</w:t>
      </w:r>
    </w:p>
    <w:p w14:paraId="54226AB0">
      <w:pPr>
        <w:spacing w:line="600" w:lineRule="exact"/>
        <w:ind w:firstLine="643" w:firstLineChars="200"/>
        <w:rPr>
          <w:rFonts w:ascii="仿宋_GB2312" w:eastAsia="仿宋_GB2312"/>
          <w:sz w:val="32"/>
          <w:szCs w:val="32"/>
        </w:rPr>
      </w:pPr>
      <w:r>
        <w:rPr>
          <w:rFonts w:hint="eastAsia" w:ascii="仿宋" w:hAnsi="仿宋" w:eastAsia="仿宋"/>
          <w:b/>
          <w:sz w:val="32"/>
          <w:szCs w:val="32"/>
        </w:rPr>
        <w:t>外事接待支出</w:t>
      </w:r>
      <w:r>
        <w:rPr>
          <w:rFonts w:ascii="仿宋" w:hAnsi="仿宋" w:eastAsia="仿宋"/>
          <w:b/>
          <w:sz w:val="32"/>
          <w:szCs w:val="32"/>
        </w:rPr>
        <w:t>0</w:t>
      </w:r>
      <w:r>
        <w:rPr>
          <w:rFonts w:hint="eastAsia" w:ascii="仿宋_GB2312" w:eastAsia="仿宋_GB2312"/>
          <w:sz w:val="32"/>
          <w:szCs w:val="32"/>
        </w:rPr>
        <w:t>万元。</w:t>
      </w:r>
    </w:p>
    <w:p w14:paraId="0F894878">
      <w:pPr>
        <w:spacing w:line="600" w:lineRule="exact"/>
        <w:ind w:firstLine="640"/>
        <w:outlineLvl w:val="1"/>
        <w:rPr>
          <w:rStyle w:val="31"/>
          <w:rFonts w:ascii="黑体" w:hAnsi="黑体" w:eastAsia="黑体"/>
        </w:rPr>
      </w:pPr>
      <w:bookmarkStart w:id="58" w:name="_Toc775"/>
      <w:r>
        <w:rPr>
          <w:rFonts w:hint="eastAsia" w:ascii="黑体" w:eastAsia="黑体"/>
          <w:sz w:val="32"/>
          <w:szCs w:val="32"/>
        </w:rPr>
        <w:t>八、</w:t>
      </w:r>
      <w:r>
        <w:rPr>
          <w:rStyle w:val="31"/>
          <w:rFonts w:hint="eastAsia" w:ascii="黑体" w:hAnsi="黑体" w:eastAsia="黑体"/>
          <w:b w:val="0"/>
        </w:rPr>
        <w:t>政府性基金预算支出决算情况说明</w:t>
      </w:r>
      <w:bookmarkEnd w:id="56"/>
      <w:bookmarkEnd w:id="57"/>
      <w:bookmarkEnd w:id="58"/>
    </w:p>
    <w:p w14:paraId="64DC980A">
      <w:pPr>
        <w:spacing w:line="600" w:lineRule="exact"/>
        <w:ind w:firstLine="640"/>
        <w:rPr>
          <w:rFonts w:hint="eastAsia" w:ascii="仿宋" w:hAnsi="仿宋" w:eastAsia="仿宋"/>
          <w:sz w:val="32"/>
          <w:szCs w:val="32"/>
          <w:lang w:val="en-US" w:eastAsia="zh-CN"/>
        </w:rPr>
      </w:pPr>
      <w:r>
        <w:rPr>
          <w:rFonts w:hint="eastAsia" w:ascii="仿宋" w:hAnsi="仿宋" w:eastAsia="仿宋"/>
          <w:sz w:val="32"/>
          <w:szCs w:val="32"/>
          <w:lang w:val="en-US" w:eastAsia="zh-CN"/>
        </w:rPr>
        <w:t>2023年度政府性基金预算财政拨款支出0万元。</w:t>
      </w:r>
    </w:p>
    <w:p w14:paraId="3C25FE6D">
      <w:pPr>
        <w:numPr>
          <w:ilvl w:val="0"/>
          <w:numId w:val="4"/>
        </w:numPr>
        <w:spacing w:line="600" w:lineRule="exact"/>
        <w:ind w:firstLine="640"/>
        <w:outlineLvl w:val="1"/>
        <w:rPr>
          <w:rStyle w:val="31"/>
          <w:rFonts w:ascii="黑体" w:hAnsi="黑体" w:eastAsia="黑体"/>
          <w:b w:val="0"/>
        </w:rPr>
      </w:pPr>
      <w:bookmarkStart w:id="59" w:name="_Toc15396611"/>
      <w:bookmarkStart w:id="60" w:name="_Toc15377219"/>
      <w:bookmarkStart w:id="61" w:name="_Toc26168"/>
      <w:r>
        <w:rPr>
          <w:rStyle w:val="31"/>
          <w:rFonts w:hint="eastAsia" w:ascii="黑体" w:hAnsi="黑体" w:eastAsia="黑体"/>
          <w:b w:val="0"/>
        </w:rPr>
        <w:t>国有资本经营预算支出决算情况说明</w:t>
      </w:r>
      <w:bookmarkEnd w:id="59"/>
      <w:bookmarkEnd w:id="60"/>
      <w:bookmarkEnd w:id="61"/>
    </w:p>
    <w:p w14:paraId="595E0C4E">
      <w:pPr>
        <w:spacing w:line="600" w:lineRule="exact"/>
        <w:ind w:firstLine="640"/>
        <w:rPr>
          <w:rFonts w:hint="eastAsia" w:ascii="仿宋" w:hAnsi="仿宋" w:eastAsia="仿宋"/>
          <w:sz w:val="32"/>
          <w:szCs w:val="32"/>
          <w:lang w:val="en-US" w:eastAsia="zh-CN"/>
        </w:rPr>
      </w:pPr>
      <w:r>
        <w:rPr>
          <w:rFonts w:hint="eastAsia" w:ascii="仿宋" w:hAnsi="仿宋" w:eastAsia="仿宋"/>
          <w:sz w:val="32"/>
          <w:szCs w:val="32"/>
          <w:lang w:val="en-US" w:eastAsia="zh-CN"/>
        </w:rPr>
        <w:t>2023年度国有资本经营预算财政拨款支出0万元。</w:t>
      </w:r>
    </w:p>
    <w:p w14:paraId="25D02649">
      <w:pPr>
        <w:numPr>
          <w:ilvl w:val="0"/>
          <w:numId w:val="4"/>
        </w:numPr>
        <w:spacing w:line="600" w:lineRule="exact"/>
        <w:ind w:firstLine="640"/>
        <w:outlineLvl w:val="1"/>
        <w:rPr>
          <w:rStyle w:val="31"/>
          <w:rFonts w:ascii="黑体" w:hAnsi="黑体" w:eastAsia="黑体"/>
          <w:b w:val="0"/>
        </w:rPr>
      </w:pPr>
      <w:bookmarkStart w:id="62" w:name="_Toc15377221"/>
      <w:bookmarkStart w:id="63" w:name="_Toc13980"/>
      <w:bookmarkStart w:id="64" w:name="_Toc15396612"/>
      <w:r>
        <w:rPr>
          <w:rStyle w:val="31"/>
          <w:rFonts w:hint="eastAsia" w:ascii="黑体" w:hAnsi="黑体" w:eastAsia="黑体"/>
          <w:b w:val="0"/>
        </w:rPr>
        <w:t>其他重要事项的情况说明</w:t>
      </w:r>
      <w:bookmarkEnd w:id="62"/>
      <w:bookmarkEnd w:id="63"/>
      <w:bookmarkEnd w:id="64"/>
    </w:p>
    <w:p w14:paraId="4BF577CA">
      <w:pPr>
        <w:spacing w:line="600" w:lineRule="exact"/>
        <w:ind w:firstLine="643" w:firstLineChars="200"/>
        <w:outlineLvl w:val="2"/>
        <w:rPr>
          <w:rFonts w:ascii="仿宋" w:hAnsi="仿宋" w:eastAsia="仿宋"/>
          <w:sz w:val="32"/>
          <w:szCs w:val="32"/>
        </w:rPr>
      </w:pPr>
      <w:bookmarkStart w:id="65" w:name="_Toc15377222"/>
      <w:r>
        <w:rPr>
          <w:rFonts w:hint="eastAsia" w:ascii="仿宋" w:hAnsi="仿宋" w:eastAsia="仿宋"/>
          <w:b/>
          <w:sz w:val="32"/>
          <w:szCs w:val="32"/>
        </w:rPr>
        <w:t>（一）机关运行经费支出情况</w:t>
      </w:r>
      <w:bookmarkEnd w:id="65"/>
    </w:p>
    <w:p w14:paraId="2E958595">
      <w:pPr>
        <w:spacing w:line="600" w:lineRule="exact"/>
        <w:ind w:firstLine="640"/>
        <w:rPr>
          <w:rFonts w:hint="eastAsia" w:ascii="仿宋" w:hAnsi="仿宋" w:eastAsia="仿宋"/>
          <w:sz w:val="32"/>
          <w:szCs w:val="32"/>
          <w:lang w:val="en-US" w:eastAsia="zh-CN"/>
        </w:rPr>
      </w:pPr>
      <w:r>
        <w:rPr>
          <w:rFonts w:hint="eastAsia" w:ascii="仿宋" w:hAnsi="仿宋" w:eastAsia="仿宋"/>
          <w:sz w:val="32"/>
          <w:szCs w:val="32"/>
          <w:lang w:val="en-US" w:eastAsia="zh-CN"/>
        </w:rPr>
        <w:t>2023年度，射洪市瞿河学校机关运行经费支出0万元，比2022年度决算数持平，主要原因是未发生该项支出。</w:t>
      </w:r>
    </w:p>
    <w:p w14:paraId="1602C2BC">
      <w:pPr>
        <w:autoSpaceDE w:val="0"/>
        <w:autoSpaceDN w:val="0"/>
        <w:adjustRightInd w:val="0"/>
        <w:spacing w:line="600" w:lineRule="exact"/>
        <w:ind w:firstLine="643" w:firstLineChars="200"/>
        <w:jc w:val="left"/>
        <w:outlineLvl w:val="2"/>
        <w:rPr>
          <w:rFonts w:ascii="仿宋" w:hAnsi="仿宋" w:eastAsia="仿宋"/>
          <w:b/>
          <w:sz w:val="32"/>
          <w:szCs w:val="32"/>
        </w:rPr>
      </w:pPr>
      <w:bookmarkStart w:id="66" w:name="_Toc15377223"/>
      <w:r>
        <w:rPr>
          <w:rFonts w:hint="eastAsia" w:ascii="仿宋" w:hAnsi="仿宋" w:eastAsia="仿宋"/>
          <w:b/>
          <w:sz w:val="32"/>
          <w:szCs w:val="32"/>
        </w:rPr>
        <w:t>（二）政府采购支出情况</w:t>
      </w:r>
      <w:bookmarkEnd w:id="66"/>
    </w:p>
    <w:p w14:paraId="7D8136F6">
      <w:pPr>
        <w:spacing w:line="600" w:lineRule="exact"/>
        <w:ind w:firstLine="640"/>
        <w:rPr>
          <w:rFonts w:hint="eastAsia" w:ascii="仿宋" w:hAnsi="仿宋" w:eastAsia="仿宋"/>
          <w:sz w:val="32"/>
          <w:szCs w:val="32"/>
          <w:lang w:val="en-US" w:eastAsia="zh-CN"/>
        </w:rPr>
      </w:pPr>
      <w:r>
        <w:rPr>
          <w:rFonts w:hint="eastAsia" w:ascii="仿宋" w:hAnsi="仿宋" w:eastAsia="仿宋"/>
          <w:sz w:val="32"/>
          <w:szCs w:val="32"/>
          <w:lang w:val="en-US" w:eastAsia="zh-CN"/>
        </w:rPr>
        <w:t>2023年度，射洪市瞿河学校政府采购支出总额0万元，其中：政府采购货物支出0万元、政府采购工程支出0万元、政府采购服务支出0万元。授予中小企业合同金额0万元，占政府采购支出总额的0%，其中：授予小微企业合同金额0万元，占政府采购支出总额的0%。</w:t>
      </w:r>
    </w:p>
    <w:p w14:paraId="3883E0EC">
      <w:pPr>
        <w:autoSpaceDE w:val="0"/>
        <w:autoSpaceDN w:val="0"/>
        <w:adjustRightInd w:val="0"/>
        <w:spacing w:line="600" w:lineRule="exact"/>
        <w:ind w:firstLine="643" w:firstLineChars="200"/>
        <w:jc w:val="left"/>
        <w:outlineLvl w:val="2"/>
        <w:rPr>
          <w:rFonts w:ascii="仿宋" w:hAnsi="仿宋" w:eastAsia="仿宋"/>
          <w:b/>
          <w:sz w:val="32"/>
          <w:szCs w:val="32"/>
        </w:rPr>
      </w:pPr>
      <w:bookmarkStart w:id="67" w:name="_Toc15377224"/>
      <w:r>
        <w:rPr>
          <w:rFonts w:hint="eastAsia" w:ascii="仿宋" w:hAnsi="仿宋" w:eastAsia="仿宋"/>
          <w:b/>
          <w:sz w:val="32"/>
          <w:szCs w:val="32"/>
        </w:rPr>
        <w:t>（三）国有资产占有使用情况</w:t>
      </w:r>
      <w:bookmarkEnd w:id="67"/>
    </w:p>
    <w:p w14:paraId="026ED7FB">
      <w:pPr>
        <w:spacing w:line="600" w:lineRule="exact"/>
        <w:ind w:firstLine="640"/>
        <w:rPr>
          <w:rFonts w:hint="eastAsia" w:ascii="仿宋" w:hAnsi="仿宋" w:eastAsia="仿宋"/>
          <w:sz w:val="32"/>
          <w:szCs w:val="32"/>
          <w:lang w:val="en-US" w:eastAsia="zh-CN"/>
        </w:rPr>
      </w:pPr>
      <w:r>
        <w:rPr>
          <w:rFonts w:hint="eastAsia" w:ascii="仿宋" w:hAnsi="仿宋" w:eastAsia="仿宋"/>
          <w:sz w:val="32"/>
          <w:szCs w:val="32"/>
          <w:lang w:val="en-US" w:eastAsia="zh-CN"/>
        </w:rPr>
        <w:t>截至2023年12月31日，射洪市瞿河学校共有车辆0辆，其中：主要领导干部用车0辆、机要通信用车0辆、应急保障用车0辆、其他用车0辆。单价100万元以上设备（不含车辆）0台（套）。</w:t>
      </w:r>
    </w:p>
    <w:p w14:paraId="64194AF4">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0921EB83">
      <w:pPr>
        <w:spacing w:line="600" w:lineRule="exact"/>
        <w:ind w:firstLine="640"/>
        <w:rPr>
          <w:rFonts w:hint="eastAsia" w:ascii="仿宋" w:hAnsi="仿宋" w:eastAsia="仿宋"/>
          <w:sz w:val="32"/>
          <w:szCs w:val="32"/>
          <w:lang w:val="en-US" w:eastAsia="zh-CN"/>
        </w:rPr>
      </w:pPr>
      <w:r>
        <w:rPr>
          <w:rFonts w:hint="eastAsia" w:ascii="仿宋" w:hAnsi="仿宋" w:eastAsia="仿宋"/>
          <w:sz w:val="32"/>
          <w:szCs w:val="32"/>
          <w:lang w:val="en-US" w:eastAsia="zh-CN"/>
        </w:rPr>
        <w:t>根据预算绩效管理要求，本单位在2023年度预算编制阶段，组织对0项目（项目名称）等0个项目开展了预算事前绩效评估，对0个项目编制了绩效目标，预算执行过程中，选取0个项目开展绩效监控，组织对0个项目开展绩效自评，绩效自评表详见第四部分附件。</w:t>
      </w:r>
    </w:p>
    <w:p w14:paraId="1B1B9F16">
      <w:pPr>
        <w:spacing w:line="600" w:lineRule="exact"/>
        <w:ind w:firstLine="640" w:firstLineChars="200"/>
        <w:rPr>
          <w:rFonts w:ascii="仿宋_GB2312" w:eastAsia="仿宋_GB2312"/>
          <w:sz w:val="32"/>
          <w:szCs w:val="32"/>
        </w:rPr>
      </w:pPr>
      <w:r>
        <w:rPr>
          <w:rFonts w:hint="eastAsia" w:ascii="仿宋_GB2312" w:eastAsia="仿宋_GB2312"/>
          <w:sz w:val="32"/>
          <w:szCs w:val="32"/>
        </w:rPr>
        <w:br w:type="page"/>
      </w:r>
    </w:p>
    <w:p w14:paraId="11F3AD20">
      <w:pPr>
        <w:numPr>
          <w:ilvl w:val="0"/>
          <w:numId w:val="5"/>
        </w:numPr>
        <w:spacing w:line="600" w:lineRule="exact"/>
        <w:ind w:firstLine="660" w:firstLineChars="150"/>
        <w:jc w:val="center"/>
        <w:outlineLvl w:val="0"/>
        <w:rPr>
          <w:rStyle w:val="30"/>
          <w:rFonts w:ascii="黑体" w:hAnsi="黑体" w:eastAsia="黑体"/>
          <w:b w:val="0"/>
        </w:rPr>
      </w:pPr>
      <w:bookmarkStart w:id="68" w:name="_Toc15396613"/>
      <w:bookmarkStart w:id="69" w:name="_Toc15377225"/>
      <w:bookmarkStart w:id="70" w:name="_Toc24891"/>
      <w:r>
        <w:rPr>
          <w:rFonts w:hint="eastAsia" w:ascii="黑体" w:hAnsi="黑体" w:eastAsia="黑体"/>
          <w:sz w:val="44"/>
          <w:szCs w:val="44"/>
        </w:rPr>
        <w:t>名</w:t>
      </w:r>
      <w:r>
        <w:rPr>
          <w:rStyle w:val="30"/>
          <w:rFonts w:hint="eastAsia" w:ascii="黑体" w:hAnsi="黑体" w:eastAsia="黑体"/>
          <w:b w:val="0"/>
        </w:rPr>
        <w:t>词解释</w:t>
      </w:r>
      <w:bookmarkEnd w:id="68"/>
      <w:bookmarkEnd w:id="69"/>
      <w:bookmarkEnd w:id="70"/>
    </w:p>
    <w:p w14:paraId="06DCB43B">
      <w:pPr>
        <w:spacing w:line="600" w:lineRule="exact"/>
        <w:jc w:val="left"/>
        <w:rPr>
          <w:rFonts w:ascii="宋体"/>
          <w:b/>
          <w:sz w:val="44"/>
          <w:szCs w:val="44"/>
        </w:rPr>
      </w:pPr>
    </w:p>
    <w:p w14:paraId="6E2C2010">
      <w:pPr>
        <w:pStyle w:val="28"/>
        <w:spacing w:line="560" w:lineRule="exact"/>
        <w:ind w:firstLine="640" w:firstLineChars="200"/>
        <w:outlineLvl w:val="1"/>
        <w:rPr>
          <w:rFonts w:hint="eastAsia" w:ascii="仿宋" w:hAnsi="仿宋" w:eastAsia="仿宋" w:cs="Times New Roman"/>
          <w:color w:val="auto"/>
          <w:kern w:val="2"/>
          <w:sz w:val="32"/>
          <w:szCs w:val="32"/>
          <w:lang w:val="en-US" w:eastAsia="zh-CN" w:bidi="ar-SA"/>
        </w:rPr>
      </w:pPr>
      <w:bookmarkStart w:id="71" w:name="_Toc9549"/>
      <w:bookmarkStart w:id="72" w:name="_Toc15377226"/>
      <w:r>
        <w:rPr>
          <w:rFonts w:hint="eastAsia" w:ascii="仿宋" w:hAnsi="仿宋" w:eastAsia="仿宋" w:cs="Times New Roman"/>
          <w:color w:val="auto"/>
          <w:kern w:val="2"/>
          <w:sz w:val="32"/>
          <w:szCs w:val="32"/>
          <w:lang w:val="en-US" w:eastAsia="zh-CN" w:bidi="ar-SA"/>
        </w:rPr>
        <w:t>1.财政拨款收入：指单位从同级财政部门取得的财政预算资金。</w:t>
      </w:r>
      <w:bookmarkEnd w:id="71"/>
    </w:p>
    <w:p w14:paraId="41669A59">
      <w:pPr>
        <w:pStyle w:val="28"/>
        <w:spacing w:line="560" w:lineRule="exact"/>
        <w:ind w:firstLine="640" w:firstLineChars="200"/>
        <w:rPr>
          <w:rFonts w:hint="eastAsia" w:ascii="仿宋" w:hAnsi="仿宋" w:eastAsia="仿宋" w:cs="Times New Roman"/>
          <w:color w:val="auto"/>
          <w:kern w:val="2"/>
          <w:sz w:val="32"/>
          <w:szCs w:val="32"/>
          <w:lang w:val="en-US" w:eastAsia="zh-CN" w:bidi="ar-SA"/>
        </w:rPr>
      </w:pPr>
      <w:r>
        <w:rPr>
          <w:rFonts w:hint="eastAsia" w:ascii="仿宋" w:hAnsi="仿宋" w:eastAsia="仿宋" w:cs="Times New Roman"/>
          <w:color w:val="auto"/>
          <w:kern w:val="2"/>
          <w:sz w:val="32"/>
          <w:szCs w:val="32"/>
          <w:lang w:val="en-US" w:eastAsia="zh-CN" w:bidi="ar-SA"/>
        </w:rPr>
        <w:t>2.事业收入：指事业单位开展专业业务活动及辅助活动取得的收入。</w:t>
      </w:r>
    </w:p>
    <w:p w14:paraId="112FA972">
      <w:pPr>
        <w:pStyle w:val="28"/>
        <w:spacing w:line="560" w:lineRule="exact"/>
        <w:ind w:firstLine="640" w:firstLineChars="200"/>
        <w:rPr>
          <w:rFonts w:hint="eastAsia" w:ascii="仿宋" w:hAnsi="仿宋" w:eastAsia="仿宋" w:cs="Times New Roman"/>
          <w:color w:val="auto"/>
          <w:kern w:val="2"/>
          <w:sz w:val="32"/>
          <w:szCs w:val="32"/>
          <w:lang w:val="en-US" w:eastAsia="zh-CN" w:bidi="ar-SA"/>
        </w:rPr>
      </w:pPr>
      <w:r>
        <w:rPr>
          <w:rFonts w:hint="eastAsia" w:ascii="仿宋" w:hAnsi="仿宋" w:eastAsia="仿宋" w:cs="Times New Roman"/>
          <w:color w:val="auto"/>
          <w:kern w:val="2"/>
          <w:sz w:val="32"/>
          <w:szCs w:val="32"/>
          <w:lang w:val="en-US" w:eastAsia="zh-CN" w:bidi="ar-SA"/>
        </w:rPr>
        <w:t>3.经营收入：指事业单位在专业业务活动及其辅助活动之外开展非独立核算经营活动取得的收入。</w:t>
      </w:r>
    </w:p>
    <w:p w14:paraId="71916F72">
      <w:pPr>
        <w:pStyle w:val="28"/>
        <w:spacing w:line="560" w:lineRule="exact"/>
        <w:ind w:firstLine="640" w:firstLineChars="200"/>
        <w:outlineLvl w:val="1"/>
        <w:rPr>
          <w:rFonts w:hint="eastAsia" w:ascii="仿宋" w:hAnsi="仿宋" w:eastAsia="仿宋" w:cs="Times New Roman"/>
          <w:color w:val="auto"/>
          <w:kern w:val="2"/>
          <w:sz w:val="32"/>
          <w:szCs w:val="32"/>
          <w:lang w:val="en-US" w:eastAsia="zh-CN" w:bidi="ar-SA"/>
        </w:rPr>
      </w:pPr>
      <w:bookmarkStart w:id="73" w:name="_Toc19922"/>
      <w:r>
        <w:rPr>
          <w:rFonts w:hint="eastAsia" w:ascii="仿宋" w:hAnsi="仿宋" w:eastAsia="仿宋" w:cs="Times New Roman"/>
          <w:color w:val="auto"/>
          <w:kern w:val="2"/>
          <w:sz w:val="32"/>
          <w:szCs w:val="32"/>
          <w:lang w:val="en-US" w:eastAsia="zh-CN" w:bidi="ar-SA"/>
        </w:rPr>
        <w:t>4.其他收入：指单位取得的除上述收入以外的各项收入。</w:t>
      </w:r>
      <w:bookmarkEnd w:id="73"/>
      <w:r>
        <w:rPr>
          <w:rFonts w:hint="eastAsia" w:ascii="仿宋" w:hAnsi="仿宋" w:eastAsia="仿宋" w:cs="Times New Roman"/>
          <w:color w:val="auto"/>
          <w:kern w:val="2"/>
          <w:sz w:val="32"/>
          <w:szCs w:val="32"/>
          <w:lang w:val="en-US" w:eastAsia="zh-CN" w:bidi="ar-SA"/>
        </w:rPr>
        <w:t xml:space="preserve"> </w:t>
      </w:r>
    </w:p>
    <w:p w14:paraId="41CD1D60">
      <w:pPr>
        <w:pStyle w:val="28"/>
        <w:spacing w:line="560" w:lineRule="exact"/>
        <w:ind w:firstLine="640" w:firstLineChars="200"/>
        <w:rPr>
          <w:rFonts w:hint="eastAsia" w:ascii="仿宋" w:hAnsi="仿宋" w:eastAsia="仿宋" w:cs="Times New Roman"/>
          <w:color w:val="auto"/>
          <w:kern w:val="2"/>
          <w:sz w:val="32"/>
          <w:szCs w:val="32"/>
          <w:lang w:val="en-US" w:eastAsia="zh-CN" w:bidi="ar-SA"/>
        </w:rPr>
      </w:pPr>
      <w:r>
        <w:rPr>
          <w:rFonts w:hint="eastAsia" w:ascii="仿宋" w:hAnsi="仿宋" w:eastAsia="仿宋" w:cs="Times New Roman"/>
          <w:color w:val="auto"/>
          <w:kern w:val="2"/>
          <w:sz w:val="32"/>
          <w:szCs w:val="32"/>
          <w:lang w:val="en-US" w:eastAsia="zh-CN" w:bidi="ar-SA"/>
        </w:rPr>
        <w:t xml:space="preserve">5.使用非财政拨款结余：指事业单位使用以前年度积累的非财政拨款结余弥补当年收支差额的金额。 </w:t>
      </w:r>
    </w:p>
    <w:p w14:paraId="60FECD13">
      <w:pPr>
        <w:pStyle w:val="28"/>
        <w:spacing w:line="560" w:lineRule="exact"/>
        <w:ind w:firstLine="640" w:firstLineChars="200"/>
        <w:rPr>
          <w:rFonts w:hint="eastAsia" w:ascii="仿宋" w:hAnsi="仿宋" w:eastAsia="仿宋" w:cs="Times New Roman"/>
          <w:color w:val="auto"/>
          <w:kern w:val="2"/>
          <w:sz w:val="32"/>
          <w:szCs w:val="32"/>
          <w:lang w:val="en-US" w:eastAsia="zh-CN" w:bidi="ar-SA"/>
        </w:rPr>
      </w:pPr>
      <w:r>
        <w:rPr>
          <w:rFonts w:hint="eastAsia" w:ascii="仿宋" w:hAnsi="仿宋" w:eastAsia="仿宋" w:cs="Times New Roman"/>
          <w:color w:val="auto"/>
          <w:kern w:val="2"/>
          <w:sz w:val="32"/>
          <w:szCs w:val="32"/>
          <w:lang w:val="en-US" w:eastAsia="zh-CN" w:bidi="ar-SA"/>
        </w:rPr>
        <w:t xml:space="preserve">6.年初结转和结余：指以前年度尚未完成、结转到本年按有关规定继续使用的资金。 </w:t>
      </w:r>
    </w:p>
    <w:p w14:paraId="597897FB">
      <w:pPr>
        <w:pStyle w:val="28"/>
        <w:spacing w:line="560" w:lineRule="exact"/>
        <w:ind w:firstLine="640" w:firstLineChars="200"/>
        <w:rPr>
          <w:rFonts w:hint="eastAsia" w:ascii="仿宋" w:hAnsi="仿宋" w:eastAsia="仿宋" w:cs="Times New Roman"/>
          <w:color w:val="auto"/>
          <w:kern w:val="2"/>
          <w:sz w:val="32"/>
          <w:szCs w:val="32"/>
          <w:lang w:val="en-US" w:eastAsia="zh-CN" w:bidi="ar-SA"/>
        </w:rPr>
      </w:pPr>
      <w:r>
        <w:rPr>
          <w:rFonts w:hint="eastAsia" w:ascii="仿宋" w:hAnsi="仿宋" w:eastAsia="仿宋" w:cs="Times New Roman"/>
          <w:color w:val="auto"/>
          <w:kern w:val="2"/>
          <w:sz w:val="32"/>
          <w:szCs w:val="32"/>
          <w:lang w:val="en-US" w:eastAsia="zh-CN" w:bidi="ar-SA"/>
        </w:rPr>
        <w:t>7.结余分配：指事业单位按照会计制度规定缴纳的所得税、提取的专用结余以及转入非财政拨款结余的金额等。</w:t>
      </w:r>
    </w:p>
    <w:p w14:paraId="5F35ACD1">
      <w:pPr>
        <w:pStyle w:val="28"/>
        <w:spacing w:line="560" w:lineRule="exact"/>
        <w:ind w:firstLine="640" w:firstLineChars="200"/>
        <w:rPr>
          <w:rFonts w:hint="eastAsia" w:ascii="仿宋" w:hAnsi="仿宋" w:eastAsia="仿宋" w:cs="Times New Roman"/>
          <w:color w:val="auto"/>
          <w:kern w:val="2"/>
          <w:sz w:val="32"/>
          <w:szCs w:val="32"/>
          <w:lang w:val="en-US" w:eastAsia="zh-CN" w:bidi="ar-SA"/>
        </w:rPr>
      </w:pPr>
      <w:r>
        <w:rPr>
          <w:rFonts w:hint="eastAsia" w:ascii="仿宋" w:hAnsi="仿宋" w:eastAsia="仿宋" w:cs="Times New Roman"/>
          <w:color w:val="auto"/>
          <w:kern w:val="2"/>
          <w:sz w:val="32"/>
          <w:szCs w:val="32"/>
          <w:lang w:val="en-US" w:eastAsia="zh-CN" w:bidi="ar-SA"/>
        </w:rPr>
        <w:t>8、年末结转和结余：指单位按有关规定结转到下年或以后年度继续使用的资金。</w:t>
      </w:r>
    </w:p>
    <w:p w14:paraId="75BD4B20">
      <w:pPr>
        <w:spacing w:line="600" w:lineRule="exact"/>
        <w:ind w:firstLine="640"/>
        <w:rPr>
          <w:rFonts w:hint="eastAsia" w:ascii="仿宋" w:hAnsi="仿宋" w:eastAsia="仿宋" w:cs="Times New Roman"/>
          <w:color w:val="auto"/>
          <w:kern w:val="2"/>
          <w:sz w:val="32"/>
          <w:szCs w:val="32"/>
          <w:lang w:val="en-US" w:eastAsia="zh-CN" w:bidi="ar-SA"/>
        </w:rPr>
      </w:pPr>
      <w:r>
        <w:rPr>
          <w:rFonts w:hint="eastAsia" w:ascii="仿宋" w:hAnsi="仿宋" w:eastAsia="仿宋" w:cs="Times New Roman"/>
          <w:color w:val="auto"/>
          <w:kern w:val="2"/>
          <w:sz w:val="32"/>
          <w:szCs w:val="32"/>
          <w:lang w:val="en-US" w:eastAsia="zh-CN" w:bidi="ar-SA"/>
        </w:rPr>
        <w:t>9.基本支出：指为保障机构正常运转、完成日常工作任务而发生的人员支出和公用支出。</w:t>
      </w:r>
    </w:p>
    <w:p w14:paraId="6E7BF73C">
      <w:pPr>
        <w:keepNext w:val="0"/>
        <w:keepLines w:val="0"/>
        <w:pageBreakBefore w:val="0"/>
        <w:widowControl w:val="0"/>
        <w:kinsoku/>
        <w:wordWrap/>
        <w:overflowPunct/>
        <w:topLinePunct w:val="0"/>
        <w:bidi w:val="0"/>
        <w:snapToGrid/>
        <w:ind w:firstLine="640" w:firstLineChars="200"/>
        <w:textAlignment w:val="auto"/>
        <w:rPr>
          <w:rFonts w:hint="eastAsia" w:ascii="仿宋" w:hAnsi="仿宋" w:eastAsia="仿宋" w:cs="Times New Roman"/>
          <w:color w:val="auto"/>
          <w:kern w:val="2"/>
          <w:sz w:val="32"/>
          <w:szCs w:val="32"/>
          <w:lang w:val="en-US" w:eastAsia="zh-CN" w:bidi="ar-SA"/>
        </w:rPr>
      </w:pPr>
      <w:r>
        <w:rPr>
          <w:rFonts w:hint="eastAsia" w:ascii="仿宋" w:hAnsi="仿宋" w:eastAsia="仿宋" w:cs="Times New Roman"/>
          <w:color w:val="auto"/>
          <w:kern w:val="2"/>
          <w:sz w:val="32"/>
          <w:szCs w:val="32"/>
          <w:lang w:val="en-US" w:eastAsia="zh-CN" w:bidi="ar-SA"/>
        </w:rPr>
        <w:t xml:space="preserve">10.项目支出：指在基本支出之外为完成特定行政任务和事业发展目标所发生的支出。 </w:t>
      </w:r>
    </w:p>
    <w:p w14:paraId="77EB8CC6">
      <w:pPr>
        <w:keepNext w:val="0"/>
        <w:keepLines w:val="0"/>
        <w:pageBreakBefore w:val="0"/>
        <w:widowControl w:val="0"/>
        <w:kinsoku/>
        <w:wordWrap/>
        <w:overflowPunct/>
        <w:topLinePunct w:val="0"/>
        <w:bidi w:val="0"/>
        <w:snapToGrid/>
        <w:ind w:firstLine="640" w:firstLineChars="200"/>
        <w:textAlignment w:val="auto"/>
        <w:rPr>
          <w:rFonts w:hint="eastAsia" w:ascii="仿宋" w:hAnsi="仿宋" w:eastAsia="仿宋" w:cs="Times New Roman"/>
          <w:color w:val="auto"/>
          <w:kern w:val="2"/>
          <w:sz w:val="32"/>
          <w:szCs w:val="32"/>
          <w:lang w:val="en-US" w:eastAsia="zh-CN" w:bidi="ar-SA"/>
        </w:rPr>
      </w:pPr>
      <w:r>
        <w:rPr>
          <w:rFonts w:hint="eastAsia" w:ascii="仿宋" w:hAnsi="仿宋" w:eastAsia="仿宋" w:cs="Times New Roman"/>
          <w:color w:val="auto"/>
          <w:kern w:val="2"/>
          <w:sz w:val="32"/>
          <w:szCs w:val="32"/>
          <w:lang w:val="en-US" w:eastAsia="zh-CN" w:bidi="ar-SA"/>
        </w:rPr>
        <w:t>11.经营支出：指事业单位在专业业务活动及其辅助活动之外开展非独立核算经营活动发生的支出。</w:t>
      </w:r>
    </w:p>
    <w:p w14:paraId="4D854654">
      <w:pPr>
        <w:pStyle w:val="28"/>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 w:hAnsi="仿宋" w:eastAsia="仿宋" w:cs="Times New Roman"/>
          <w:color w:val="auto"/>
          <w:kern w:val="2"/>
          <w:sz w:val="32"/>
          <w:szCs w:val="32"/>
          <w:lang w:val="en-US" w:eastAsia="zh-CN" w:bidi="ar-SA"/>
        </w:rPr>
      </w:pPr>
      <w:r>
        <w:rPr>
          <w:rFonts w:hint="eastAsia" w:ascii="仿宋" w:hAnsi="仿宋" w:eastAsia="仿宋" w:cs="Times New Roman"/>
          <w:color w:val="auto"/>
          <w:kern w:val="2"/>
          <w:sz w:val="32"/>
          <w:szCs w:val="32"/>
          <w:lang w:val="en-US" w:eastAsia="zh-CN" w:bidi="ar-SA"/>
        </w:rPr>
        <w:t>12.“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ED2C1DC">
      <w:pPr>
        <w:pStyle w:val="28"/>
        <w:keepNext w:val="0"/>
        <w:keepLines w:val="0"/>
        <w:pageBreakBefore w:val="0"/>
        <w:widowControl w:val="0"/>
        <w:kinsoku/>
        <w:wordWrap/>
        <w:overflowPunct/>
        <w:topLinePunct w:val="0"/>
        <w:bidi w:val="0"/>
        <w:snapToGrid/>
        <w:spacing w:line="560" w:lineRule="exact"/>
        <w:ind w:firstLine="640" w:firstLineChars="200"/>
        <w:textAlignment w:val="auto"/>
        <w:rPr>
          <w:rFonts w:hint="eastAsia" w:ascii="仿宋" w:hAnsi="仿宋" w:eastAsia="仿宋" w:cs="Times New Roman"/>
          <w:color w:val="auto"/>
          <w:kern w:val="2"/>
          <w:sz w:val="32"/>
          <w:szCs w:val="32"/>
          <w:lang w:val="en-US" w:eastAsia="zh-CN" w:bidi="ar-SA"/>
        </w:rPr>
      </w:pPr>
      <w:r>
        <w:rPr>
          <w:rFonts w:hint="eastAsia" w:ascii="仿宋" w:hAnsi="仿宋" w:eastAsia="仿宋" w:cs="Times New Roman"/>
          <w:color w:val="auto"/>
          <w:kern w:val="2"/>
          <w:sz w:val="32"/>
          <w:szCs w:val="32"/>
          <w:lang w:val="en-US" w:eastAsia="zh-CN" w:bidi="ar-SA"/>
        </w:rPr>
        <w:t>13.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0080BB37">
      <w:pPr>
        <w:keepNext w:val="0"/>
        <w:keepLines w:val="0"/>
        <w:pageBreakBefore w:val="0"/>
        <w:widowControl w:val="0"/>
        <w:kinsoku/>
        <w:wordWrap/>
        <w:overflowPunct/>
        <w:topLinePunct w:val="0"/>
        <w:bidi w:val="0"/>
        <w:snapToGrid/>
        <w:ind w:firstLine="640" w:firstLineChars="200"/>
        <w:textAlignment w:val="auto"/>
        <w:rPr>
          <w:rFonts w:hint="eastAsia" w:ascii="仿宋" w:hAnsi="仿宋" w:eastAsia="仿宋" w:cs="Times New Roman"/>
          <w:color w:val="auto"/>
          <w:kern w:val="2"/>
          <w:sz w:val="32"/>
          <w:szCs w:val="32"/>
          <w:lang w:val="en-US" w:eastAsia="zh-CN" w:bidi="ar-SA"/>
        </w:rPr>
      </w:pPr>
      <w:r>
        <w:rPr>
          <w:rFonts w:hint="eastAsia" w:ascii="仿宋" w:hAnsi="仿宋" w:eastAsia="仿宋" w:cs="Times New Roman"/>
          <w:color w:val="auto"/>
          <w:kern w:val="2"/>
          <w:sz w:val="32"/>
          <w:szCs w:val="32"/>
          <w:lang w:val="en-US" w:eastAsia="zh-CN" w:bidi="ar-SA"/>
        </w:rPr>
        <w:t>14.住房保障支出(类)住房改革支出(款)住房公积金(项):指行政事业单位住房公积金缴费支出。</w:t>
      </w:r>
    </w:p>
    <w:p w14:paraId="465EC339">
      <w:pPr>
        <w:pStyle w:val="14"/>
        <w:keepNext w:val="0"/>
        <w:keepLines w:val="0"/>
        <w:pageBreakBefore w:val="0"/>
        <w:widowControl w:val="0"/>
        <w:kinsoku/>
        <w:wordWrap/>
        <w:overflowPunct/>
        <w:topLinePunct w:val="0"/>
        <w:bidi w:val="0"/>
        <w:snapToGrid/>
        <w:spacing w:before="0" w:after="0"/>
        <w:ind w:firstLine="640" w:firstLineChars="200"/>
        <w:jc w:val="left"/>
        <w:textAlignment w:val="auto"/>
        <w:rPr>
          <w:rFonts w:hint="eastAsia" w:ascii="仿宋" w:hAnsi="仿宋" w:eastAsia="仿宋" w:cs="Times New Roman"/>
          <w:b w:val="0"/>
          <w:bCs w:val="0"/>
          <w:color w:val="auto"/>
          <w:kern w:val="2"/>
          <w:sz w:val="32"/>
          <w:szCs w:val="32"/>
          <w:lang w:val="en-US" w:eastAsia="zh-CN" w:bidi="ar-SA"/>
        </w:rPr>
      </w:pPr>
      <w:bookmarkStart w:id="74" w:name="_Toc23562"/>
      <w:r>
        <w:rPr>
          <w:rFonts w:hint="eastAsia" w:ascii="仿宋" w:hAnsi="仿宋" w:eastAsia="仿宋" w:cs="Times New Roman"/>
          <w:b w:val="0"/>
          <w:bCs w:val="0"/>
          <w:color w:val="auto"/>
          <w:kern w:val="2"/>
          <w:sz w:val="32"/>
          <w:szCs w:val="32"/>
          <w:lang w:val="en-US" w:eastAsia="zh-CN" w:bidi="ar-SA"/>
        </w:rPr>
        <w:t>15.农林水(类)巩固脱贫衔接乡村振兴(款)社会发展(项):指建档立卡学生补助支出。</w:t>
      </w:r>
      <w:bookmarkEnd w:id="74"/>
    </w:p>
    <w:p w14:paraId="6571B60E">
      <w:pPr>
        <w:pStyle w:val="14"/>
        <w:keepNext w:val="0"/>
        <w:keepLines w:val="0"/>
        <w:pageBreakBefore w:val="0"/>
        <w:widowControl w:val="0"/>
        <w:kinsoku/>
        <w:wordWrap/>
        <w:overflowPunct/>
        <w:topLinePunct w:val="0"/>
        <w:bidi w:val="0"/>
        <w:snapToGrid/>
        <w:spacing w:before="0" w:after="0"/>
        <w:ind w:firstLine="640" w:firstLineChars="200"/>
        <w:jc w:val="left"/>
        <w:textAlignment w:val="auto"/>
        <w:rPr>
          <w:rFonts w:hint="eastAsia" w:ascii="仿宋" w:hAnsi="仿宋" w:eastAsia="仿宋" w:cs="Times New Roman"/>
          <w:b w:val="0"/>
          <w:bCs w:val="0"/>
          <w:color w:val="auto"/>
          <w:kern w:val="2"/>
          <w:sz w:val="32"/>
          <w:szCs w:val="32"/>
          <w:lang w:val="en-US" w:eastAsia="zh-CN" w:bidi="ar-SA"/>
        </w:rPr>
      </w:pPr>
      <w:bookmarkStart w:id="75" w:name="_Toc1468"/>
      <w:r>
        <w:rPr>
          <w:rFonts w:hint="eastAsia" w:ascii="仿宋" w:hAnsi="仿宋" w:eastAsia="仿宋" w:cs="Times New Roman"/>
          <w:b w:val="0"/>
          <w:bCs w:val="0"/>
          <w:color w:val="auto"/>
          <w:kern w:val="2"/>
          <w:sz w:val="32"/>
          <w:szCs w:val="32"/>
          <w:lang w:val="en-US" w:eastAsia="zh-CN" w:bidi="ar-SA"/>
        </w:rPr>
        <w:t>16.教育支出（类）普通教育（款）小学教育（项），主要用于：教体局行政运行的基本支出，包括基本工资、津贴补贴等人员经费以及办公费、水电费等日常公用经费支出。</w:t>
      </w:r>
      <w:bookmarkEnd w:id="75"/>
    </w:p>
    <w:p w14:paraId="0AFC356C">
      <w:pPr>
        <w:pStyle w:val="14"/>
        <w:keepNext w:val="0"/>
        <w:keepLines w:val="0"/>
        <w:pageBreakBefore w:val="0"/>
        <w:widowControl w:val="0"/>
        <w:kinsoku/>
        <w:wordWrap/>
        <w:overflowPunct/>
        <w:topLinePunct w:val="0"/>
        <w:bidi w:val="0"/>
        <w:snapToGrid/>
        <w:spacing w:before="0" w:after="0"/>
        <w:ind w:firstLine="640" w:firstLineChars="200"/>
        <w:jc w:val="left"/>
        <w:textAlignment w:val="auto"/>
        <w:rPr>
          <w:rFonts w:hint="eastAsia" w:ascii="仿宋" w:hAnsi="仿宋" w:eastAsia="仿宋" w:cs="Times New Roman"/>
          <w:b w:val="0"/>
          <w:bCs w:val="0"/>
          <w:color w:val="auto"/>
          <w:kern w:val="2"/>
          <w:sz w:val="32"/>
          <w:szCs w:val="32"/>
          <w:lang w:val="en-US" w:eastAsia="zh-CN" w:bidi="ar-SA"/>
        </w:rPr>
      </w:pPr>
      <w:bookmarkStart w:id="76" w:name="_Toc2181"/>
      <w:r>
        <w:rPr>
          <w:rFonts w:hint="eastAsia" w:ascii="仿宋" w:hAnsi="仿宋" w:eastAsia="仿宋" w:cs="Times New Roman"/>
          <w:b w:val="0"/>
          <w:bCs w:val="0"/>
          <w:color w:val="auto"/>
          <w:kern w:val="2"/>
          <w:sz w:val="32"/>
          <w:szCs w:val="32"/>
          <w:lang w:val="en-US" w:eastAsia="zh-CN" w:bidi="ar-SA"/>
        </w:rPr>
        <w:t>17.教育支出（类）普通教育（款）学前教育（项）:指反映各部门举办的学前教育支出。政府各部门对社会组织等 举办的幼儿园的资助，如捐赠、补贴等，也在本科目中反映</w:t>
      </w:r>
      <w:bookmarkEnd w:id="76"/>
    </w:p>
    <w:p w14:paraId="55DA5059">
      <w:pPr>
        <w:pStyle w:val="14"/>
        <w:keepNext w:val="0"/>
        <w:keepLines w:val="0"/>
        <w:pageBreakBefore w:val="0"/>
        <w:widowControl w:val="0"/>
        <w:kinsoku/>
        <w:wordWrap/>
        <w:overflowPunct/>
        <w:topLinePunct w:val="0"/>
        <w:bidi w:val="0"/>
        <w:snapToGrid/>
        <w:spacing w:before="0" w:after="0"/>
        <w:ind w:firstLine="640" w:firstLineChars="200"/>
        <w:jc w:val="left"/>
        <w:textAlignment w:val="auto"/>
        <w:rPr>
          <w:rFonts w:hint="eastAsia" w:ascii="仿宋" w:hAnsi="仿宋" w:eastAsia="仿宋" w:cs="Times New Roman"/>
          <w:b w:val="0"/>
          <w:bCs w:val="0"/>
          <w:color w:val="auto"/>
          <w:kern w:val="2"/>
          <w:sz w:val="32"/>
          <w:szCs w:val="32"/>
          <w:lang w:val="en-US" w:eastAsia="zh-CN" w:bidi="ar-SA"/>
        </w:rPr>
      </w:pPr>
      <w:bookmarkStart w:id="77" w:name="_Toc18873"/>
      <w:r>
        <w:rPr>
          <w:rFonts w:hint="eastAsia" w:ascii="仿宋" w:hAnsi="仿宋" w:eastAsia="仿宋" w:cs="Times New Roman"/>
          <w:b w:val="0"/>
          <w:bCs w:val="0"/>
          <w:color w:val="auto"/>
          <w:kern w:val="2"/>
          <w:sz w:val="32"/>
          <w:szCs w:val="32"/>
          <w:lang w:val="en-US" w:eastAsia="zh-CN" w:bidi="ar-SA"/>
        </w:rPr>
        <w:t>18.社会保障和就业支出(类)人力资源和社会保障管理事务(款)事业运行(项):指行政单位(包括实行公务员管理的事业单位)的基本支出。</w:t>
      </w:r>
      <w:bookmarkEnd w:id="77"/>
    </w:p>
    <w:p w14:paraId="5FF8832B">
      <w:pPr>
        <w:pStyle w:val="14"/>
        <w:keepNext w:val="0"/>
        <w:keepLines w:val="0"/>
        <w:pageBreakBefore w:val="0"/>
        <w:widowControl w:val="0"/>
        <w:kinsoku/>
        <w:wordWrap/>
        <w:overflowPunct/>
        <w:topLinePunct w:val="0"/>
        <w:bidi w:val="0"/>
        <w:snapToGrid/>
        <w:spacing w:before="0" w:after="0"/>
        <w:ind w:firstLine="640" w:firstLineChars="200"/>
        <w:jc w:val="left"/>
        <w:textAlignment w:val="auto"/>
        <w:rPr>
          <w:rFonts w:hint="eastAsia" w:ascii="仿宋" w:hAnsi="仿宋" w:eastAsia="仿宋" w:cs="Times New Roman"/>
          <w:b w:val="0"/>
          <w:bCs w:val="0"/>
          <w:color w:val="auto"/>
          <w:kern w:val="2"/>
          <w:sz w:val="32"/>
          <w:szCs w:val="32"/>
          <w:lang w:val="en-US" w:eastAsia="zh-CN" w:bidi="ar-SA"/>
        </w:rPr>
      </w:pPr>
      <w:bookmarkStart w:id="78" w:name="_Toc3555"/>
      <w:r>
        <w:rPr>
          <w:rFonts w:hint="eastAsia" w:ascii="仿宋" w:hAnsi="仿宋" w:eastAsia="仿宋" w:cs="Times New Roman"/>
          <w:b w:val="0"/>
          <w:bCs w:val="0"/>
          <w:color w:val="auto"/>
          <w:kern w:val="2"/>
          <w:sz w:val="32"/>
          <w:szCs w:val="32"/>
          <w:lang w:val="en-US" w:eastAsia="zh-CN" w:bidi="ar-SA"/>
        </w:rPr>
        <w:t>19.卫生健康支出（类）行政事业单位医疗（款）事业单位医疗（项）反映事业单位医疗方面的支出。</w:t>
      </w:r>
      <w:bookmarkEnd w:id="78"/>
    </w:p>
    <w:p w14:paraId="74A11FA1">
      <w:pPr>
        <w:pStyle w:val="14"/>
        <w:keepNext w:val="0"/>
        <w:keepLines w:val="0"/>
        <w:pageBreakBefore w:val="0"/>
        <w:widowControl w:val="0"/>
        <w:kinsoku/>
        <w:wordWrap/>
        <w:overflowPunct/>
        <w:topLinePunct w:val="0"/>
        <w:bidi w:val="0"/>
        <w:snapToGrid/>
        <w:spacing w:before="0" w:after="0"/>
        <w:ind w:firstLine="640" w:firstLineChars="200"/>
        <w:jc w:val="left"/>
        <w:textAlignment w:val="auto"/>
        <w:rPr>
          <w:rFonts w:hint="eastAsia" w:ascii="仿宋" w:hAnsi="仿宋" w:eastAsia="仿宋" w:cs="Times New Roman"/>
          <w:b w:val="0"/>
          <w:bCs w:val="0"/>
          <w:color w:val="auto"/>
          <w:kern w:val="2"/>
          <w:sz w:val="32"/>
          <w:szCs w:val="32"/>
          <w:lang w:val="en-US" w:eastAsia="zh-CN" w:bidi="ar-SA"/>
        </w:rPr>
      </w:pPr>
      <w:bookmarkStart w:id="79" w:name="_Toc15557"/>
      <w:r>
        <w:rPr>
          <w:rFonts w:hint="eastAsia" w:ascii="仿宋" w:hAnsi="仿宋" w:eastAsia="仿宋" w:cs="Times New Roman"/>
          <w:b w:val="0"/>
          <w:bCs w:val="0"/>
          <w:color w:val="auto"/>
          <w:kern w:val="2"/>
          <w:sz w:val="32"/>
          <w:szCs w:val="32"/>
          <w:lang w:val="en-US" w:eastAsia="zh-CN" w:bidi="ar-SA"/>
        </w:rPr>
        <w:t>20.社会保障和就业（类）行政事业单位养老支出（款）机关事业单位基本养老保险缴费支出（项）反映机关事业单位基本养老保险缴费支出。</w:t>
      </w:r>
      <w:bookmarkEnd w:id="79"/>
    </w:p>
    <w:p w14:paraId="2100EFD9">
      <w:pPr>
        <w:pStyle w:val="14"/>
        <w:keepNext w:val="0"/>
        <w:keepLines w:val="0"/>
        <w:pageBreakBefore w:val="0"/>
        <w:widowControl w:val="0"/>
        <w:kinsoku/>
        <w:wordWrap/>
        <w:overflowPunct/>
        <w:topLinePunct w:val="0"/>
        <w:bidi w:val="0"/>
        <w:snapToGrid/>
        <w:spacing w:before="0" w:after="0"/>
        <w:ind w:firstLine="640" w:firstLineChars="200"/>
        <w:jc w:val="left"/>
        <w:textAlignment w:val="auto"/>
        <w:rPr>
          <w:rFonts w:hint="eastAsia" w:ascii="仿宋" w:hAnsi="仿宋" w:eastAsia="仿宋" w:cs="Times New Roman"/>
          <w:b w:val="0"/>
          <w:bCs w:val="0"/>
          <w:color w:val="auto"/>
          <w:kern w:val="2"/>
          <w:sz w:val="32"/>
          <w:szCs w:val="32"/>
          <w:lang w:val="en-US" w:eastAsia="zh-CN" w:bidi="ar-SA"/>
        </w:rPr>
      </w:pPr>
      <w:bookmarkStart w:id="80" w:name="_Toc17900"/>
      <w:r>
        <w:rPr>
          <w:rFonts w:hint="eastAsia" w:ascii="仿宋" w:hAnsi="仿宋" w:eastAsia="仿宋" w:cs="Times New Roman"/>
          <w:b w:val="0"/>
          <w:bCs w:val="0"/>
          <w:color w:val="auto"/>
          <w:kern w:val="2"/>
          <w:sz w:val="32"/>
          <w:szCs w:val="32"/>
          <w:lang w:val="en-US" w:eastAsia="zh-CN" w:bidi="ar-SA"/>
        </w:rPr>
        <w:t>21.卫生健康支出（类）行政事业单位医疗（款）其他行政事业单位医疗支出（项）反映其他行政事业单位医疗方面的支出。</w:t>
      </w:r>
      <w:bookmarkEnd w:id="80"/>
    </w:p>
    <w:p w14:paraId="39F4F639">
      <w:pPr>
        <w:pStyle w:val="14"/>
        <w:keepNext w:val="0"/>
        <w:keepLines w:val="0"/>
        <w:pageBreakBefore w:val="0"/>
        <w:widowControl w:val="0"/>
        <w:kinsoku/>
        <w:wordWrap/>
        <w:overflowPunct/>
        <w:topLinePunct w:val="0"/>
        <w:bidi w:val="0"/>
        <w:snapToGrid/>
        <w:spacing w:before="0" w:after="0"/>
        <w:ind w:firstLine="640" w:firstLineChars="200"/>
        <w:jc w:val="left"/>
        <w:textAlignment w:val="auto"/>
        <w:rPr>
          <w:rFonts w:hint="eastAsia" w:ascii="仿宋" w:hAnsi="仿宋" w:eastAsia="仿宋" w:cs="Times New Roman"/>
          <w:b w:val="0"/>
          <w:bCs w:val="0"/>
          <w:color w:val="auto"/>
          <w:kern w:val="2"/>
          <w:sz w:val="32"/>
          <w:szCs w:val="32"/>
          <w:lang w:val="en-US" w:eastAsia="zh-CN" w:bidi="ar-SA"/>
        </w:rPr>
      </w:pPr>
      <w:bookmarkStart w:id="81" w:name="_Toc4417"/>
      <w:r>
        <w:rPr>
          <w:rFonts w:hint="eastAsia" w:ascii="仿宋" w:hAnsi="仿宋" w:eastAsia="仿宋" w:cs="Times New Roman"/>
          <w:b w:val="0"/>
          <w:bCs w:val="0"/>
          <w:color w:val="auto"/>
          <w:kern w:val="2"/>
          <w:sz w:val="32"/>
          <w:szCs w:val="32"/>
          <w:lang w:val="en-US" w:eastAsia="zh-CN" w:bidi="ar-SA"/>
        </w:rPr>
        <w:t>22.</w:t>
      </w:r>
      <w:bookmarkEnd w:id="81"/>
      <w:bookmarkStart w:id="82" w:name="_Toc16979"/>
      <w:r>
        <w:rPr>
          <w:rFonts w:hint="eastAsia" w:ascii="仿宋" w:hAnsi="仿宋" w:eastAsia="仿宋" w:cs="Times New Roman"/>
          <w:b w:val="0"/>
          <w:bCs w:val="0"/>
          <w:color w:val="auto"/>
          <w:kern w:val="2"/>
          <w:sz w:val="32"/>
          <w:szCs w:val="32"/>
          <w:lang w:val="en-US" w:eastAsia="zh-CN" w:bidi="ar-SA"/>
        </w:rPr>
        <w:t>社会保障和就业（类）其他社会保障和就业支出（款）其他社会保障和就业支出（项）反映除上述项目以外其他用于社会保障和就业方面的支出。</w:t>
      </w:r>
      <w:bookmarkEnd w:id="82"/>
    </w:p>
    <w:p w14:paraId="58B54565">
      <w:pPr>
        <w:rPr>
          <w:rFonts w:hint="eastAsia" w:ascii="宋体" w:eastAsia="宋体"/>
          <w:b/>
          <w:sz w:val="44"/>
          <w:szCs w:val="44"/>
          <w:lang w:eastAsia="zh-CN"/>
        </w:rPr>
      </w:pPr>
      <w:r>
        <w:rPr>
          <w:rFonts w:ascii="宋体"/>
          <w:b/>
          <w:sz w:val="44"/>
          <w:szCs w:val="44"/>
        </w:rPr>
        <w:br w:type="page"/>
      </w:r>
      <w:bookmarkStart w:id="83" w:name="_Toc15396618"/>
      <w:r>
        <w:rPr>
          <w:rFonts w:hint="eastAsia" w:ascii="宋体" w:eastAsia="宋体"/>
          <w:b/>
          <w:sz w:val="44"/>
          <w:szCs w:val="44"/>
          <w:lang w:eastAsia="zh-CN"/>
        </w:rPr>
        <w:drawing>
          <wp:anchor distT="0" distB="0" distL="114300" distR="114300" simplePos="0" relativeHeight="251666432" behindDoc="0" locked="0" layoutInCell="1" allowOverlap="1">
            <wp:simplePos x="0" y="0"/>
            <wp:positionH relativeFrom="column">
              <wp:posOffset>-1111250</wp:posOffset>
            </wp:positionH>
            <wp:positionV relativeFrom="paragraph">
              <wp:posOffset>-904875</wp:posOffset>
            </wp:positionV>
            <wp:extent cx="7521575" cy="10640695"/>
            <wp:effectExtent l="0" t="0" r="3175" b="8255"/>
            <wp:wrapNone/>
            <wp:docPr id="3" name="图片 3" descr="139047-射洪市瞿河学校_2023年部门决算公开编制说明（单位）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9047-射洪市瞿河学校_2023年部门决算公开编制说明（单位）_17"/>
                    <pic:cNvPicPr>
                      <a:picLocks noChangeAspect="1"/>
                    </pic:cNvPicPr>
                  </pic:nvPicPr>
                  <pic:blipFill>
                    <a:blip r:embed="rId13"/>
                    <a:stretch>
                      <a:fillRect/>
                    </a:stretch>
                  </pic:blipFill>
                  <pic:spPr>
                    <a:xfrm>
                      <a:off x="0" y="0"/>
                      <a:ext cx="7521575" cy="10640695"/>
                    </a:xfrm>
                    <a:prstGeom prst="rect">
                      <a:avLst/>
                    </a:prstGeom>
                  </pic:spPr>
                </pic:pic>
              </a:graphicData>
            </a:graphic>
          </wp:anchor>
        </w:drawing>
      </w:r>
      <w:r>
        <w:rPr>
          <w:rFonts w:ascii="宋体"/>
          <w:b/>
          <w:sz w:val="44"/>
          <w:szCs w:val="44"/>
        </w:rPr>
        <w:br w:type="page"/>
      </w:r>
    </w:p>
    <w:p w14:paraId="53B67DDD">
      <w:pPr>
        <w:rPr>
          <w:rFonts w:hint="eastAsia" w:ascii="宋体" w:eastAsia="宋体"/>
          <w:b/>
          <w:sz w:val="44"/>
          <w:szCs w:val="44"/>
          <w:lang w:eastAsia="zh-CN"/>
        </w:rPr>
      </w:pPr>
      <w:r>
        <w:rPr>
          <w:rFonts w:hint="eastAsia" w:ascii="宋体" w:eastAsia="宋体"/>
          <w:b/>
          <w:sz w:val="44"/>
          <w:szCs w:val="44"/>
          <w:lang w:eastAsia="zh-CN"/>
        </w:rPr>
        <w:drawing>
          <wp:anchor distT="0" distB="0" distL="114300" distR="114300" simplePos="0" relativeHeight="251667456" behindDoc="0" locked="0" layoutInCell="1" allowOverlap="1">
            <wp:simplePos x="0" y="0"/>
            <wp:positionH relativeFrom="column">
              <wp:posOffset>-1132840</wp:posOffset>
            </wp:positionH>
            <wp:positionV relativeFrom="paragraph">
              <wp:posOffset>-901065</wp:posOffset>
            </wp:positionV>
            <wp:extent cx="7549515" cy="10680065"/>
            <wp:effectExtent l="0" t="0" r="13335" b="6985"/>
            <wp:wrapNone/>
            <wp:docPr id="5" name="图片 5" descr="139047-射洪市瞿河学校_2023年部门决算公开编制说明（单位）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9047-射洪市瞿河学校_2023年部门决算公开编制说明（单位）_18"/>
                    <pic:cNvPicPr>
                      <a:picLocks noChangeAspect="1"/>
                    </pic:cNvPicPr>
                  </pic:nvPicPr>
                  <pic:blipFill>
                    <a:blip r:embed="rId14"/>
                    <a:stretch>
                      <a:fillRect/>
                    </a:stretch>
                  </pic:blipFill>
                  <pic:spPr>
                    <a:xfrm>
                      <a:off x="0" y="0"/>
                      <a:ext cx="7549515" cy="10680065"/>
                    </a:xfrm>
                    <a:prstGeom prst="rect">
                      <a:avLst/>
                    </a:prstGeom>
                  </pic:spPr>
                </pic:pic>
              </a:graphicData>
            </a:graphic>
          </wp:anchor>
        </w:drawing>
      </w:r>
      <w:r>
        <w:rPr>
          <w:rFonts w:ascii="宋体"/>
          <w:b/>
          <w:sz w:val="44"/>
          <w:szCs w:val="44"/>
        </w:rPr>
        <w:br w:type="page"/>
      </w:r>
    </w:p>
    <w:p w14:paraId="61C5FDCC">
      <w:pPr>
        <w:pStyle w:val="6"/>
        <w:spacing w:before="93"/>
        <w:rPr>
          <w:rFonts w:ascii="宋体"/>
          <w:b/>
          <w:sz w:val="44"/>
          <w:szCs w:val="44"/>
        </w:rPr>
      </w:pPr>
      <w:r>
        <w:rPr>
          <w:rFonts w:hint="eastAsia" w:hAnsi="Calibri" w:eastAsia="宋体" w:cs="仿宋"/>
          <w:sz w:val="32"/>
          <w:szCs w:val="32"/>
          <w:lang w:eastAsia="zh-CN"/>
        </w:rPr>
        <w:drawing>
          <wp:anchor distT="0" distB="0" distL="114300" distR="114300" simplePos="0" relativeHeight="251668480" behindDoc="0" locked="0" layoutInCell="1" allowOverlap="1">
            <wp:simplePos x="0" y="0"/>
            <wp:positionH relativeFrom="column">
              <wp:posOffset>-1127125</wp:posOffset>
            </wp:positionH>
            <wp:positionV relativeFrom="paragraph">
              <wp:posOffset>-897255</wp:posOffset>
            </wp:positionV>
            <wp:extent cx="7558405" cy="10692765"/>
            <wp:effectExtent l="0" t="0" r="4445" b="13335"/>
            <wp:wrapNone/>
            <wp:docPr id="7" name="图片 7" descr="139047-射洪市瞿河学校_2023年部门决算公开编制说明（单位）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9047-射洪市瞿河学校_2023年部门决算公开编制说明（单位）_19"/>
                    <pic:cNvPicPr>
                      <a:picLocks noChangeAspect="1"/>
                    </pic:cNvPicPr>
                  </pic:nvPicPr>
                  <pic:blipFill>
                    <a:blip r:embed="rId15"/>
                    <a:stretch>
                      <a:fillRect/>
                    </a:stretch>
                  </pic:blipFill>
                  <pic:spPr>
                    <a:xfrm>
                      <a:off x="4445" y="10160"/>
                      <a:ext cx="7558405" cy="10692765"/>
                    </a:xfrm>
                    <a:prstGeom prst="rect">
                      <a:avLst/>
                    </a:prstGeom>
                  </pic:spPr>
                </pic:pic>
              </a:graphicData>
            </a:graphic>
          </wp:anchor>
        </w:drawing>
      </w:r>
    </w:p>
    <w:p w14:paraId="6D84B783">
      <w:pPr>
        <w:rPr>
          <w:rFonts w:hAnsi="Calibri" w:cs="仿宋"/>
          <w:sz w:val="32"/>
          <w:szCs w:val="32"/>
        </w:rPr>
      </w:pPr>
      <w:r>
        <w:rPr>
          <w:rFonts w:hAnsi="Calibri" w:cs="仿宋"/>
          <w:sz w:val="32"/>
          <w:szCs w:val="32"/>
        </w:rPr>
        <w:br w:type="page"/>
      </w:r>
    </w:p>
    <w:p w14:paraId="759A63E2">
      <w:pPr>
        <w:rPr>
          <w:rFonts w:hAnsi="Calibri" w:cs="仿宋"/>
          <w:sz w:val="32"/>
          <w:szCs w:val="32"/>
        </w:rPr>
      </w:pPr>
      <w:r>
        <w:rPr>
          <w:rFonts w:hAnsi="Calibri" w:cs="仿宋"/>
          <w:sz w:val="32"/>
          <w:szCs w:val="32"/>
        </w:rPr>
        <w:br w:type="page"/>
      </w:r>
      <w:r>
        <w:rPr>
          <w:rFonts w:hint="eastAsia" w:hAnsi="Calibri" w:eastAsia="宋体" w:cs="仿宋"/>
          <w:sz w:val="32"/>
          <w:szCs w:val="32"/>
          <w:lang w:eastAsia="zh-CN"/>
        </w:rPr>
        <w:drawing>
          <wp:anchor distT="0" distB="0" distL="114300" distR="114300" simplePos="0" relativeHeight="251669504" behindDoc="0" locked="0" layoutInCell="1" allowOverlap="1">
            <wp:simplePos x="0" y="0"/>
            <wp:positionH relativeFrom="column">
              <wp:posOffset>-1130935</wp:posOffset>
            </wp:positionH>
            <wp:positionV relativeFrom="paragraph">
              <wp:posOffset>-909320</wp:posOffset>
            </wp:positionV>
            <wp:extent cx="7526655" cy="10648315"/>
            <wp:effectExtent l="0" t="0" r="17145" b="635"/>
            <wp:wrapNone/>
            <wp:docPr id="8" name="图片 8" descr="139047-射洪市瞿河学校_2023年部门决算公开编制说明（单位）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39047-射洪市瞿河学校_2023年部门决算公开编制说明（单位）_20"/>
                    <pic:cNvPicPr>
                      <a:picLocks noChangeAspect="1"/>
                    </pic:cNvPicPr>
                  </pic:nvPicPr>
                  <pic:blipFill>
                    <a:blip r:embed="rId16"/>
                    <a:stretch>
                      <a:fillRect/>
                    </a:stretch>
                  </pic:blipFill>
                  <pic:spPr>
                    <a:xfrm>
                      <a:off x="12065" y="5080"/>
                      <a:ext cx="7526655" cy="10648315"/>
                    </a:xfrm>
                    <a:prstGeom prst="rect">
                      <a:avLst/>
                    </a:prstGeom>
                  </pic:spPr>
                </pic:pic>
              </a:graphicData>
            </a:graphic>
          </wp:anchor>
        </w:drawing>
      </w:r>
    </w:p>
    <w:p w14:paraId="4EFA4802">
      <w:pPr>
        <w:rPr>
          <w:rFonts w:hint="eastAsia" w:hAnsi="Calibri" w:eastAsia="宋体" w:cs="仿宋"/>
          <w:sz w:val="32"/>
          <w:szCs w:val="32"/>
          <w:lang w:eastAsia="zh-CN"/>
        </w:rPr>
      </w:pPr>
      <w:r>
        <w:rPr>
          <w:rFonts w:hint="eastAsia" w:hAnsi="Calibri" w:eastAsia="宋体" w:cs="仿宋"/>
          <w:sz w:val="32"/>
          <w:szCs w:val="32"/>
          <w:lang w:eastAsia="zh-CN"/>
        </w:rPr>
        <w:drawing>
          <wp:anchor distT="0" distB="0" distL="114300" distR="114300" simplePos="0" relativeHeight="251670528" behindDoc="0" locked="0" layoutInCell="1" allowOverlap="1">
            <wp:simplePos x="0" y="0"/>
            <wp:positionH relativeFrom="column">
              <wp:posOffset>-1131570</wp:posOffset>
            </wp:positionH>
            <wp:positionV relativeFrom="page">
              <wp:posOffset>3810</wp:posOffset>
            </wp:positionV>
            <wp:extent cx="7539355" cy="10666095"/>
            <wp:effectExtent l="0" t="0" r="4445" b="1905"/>
            <wp:wrapNone/>
            <wp:docPr id="9" name="图片 9" descr="139047-射洪市瞿河学校_2023年部门决算公开编制说明（单位）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39047-射洪市瞿河学校_2023年部门决算公开编制说明（单位）_21"/>
                    <pic:cNvPicPr>
                      <a:picLocks noChangeAspect="1"/>
                    </pic:cNvPicPr>
                  </pic:nvPicPr>
                  <pic:blipFill>
                    <a:blip r:embed="rId17"/>
                    <a:stretch>
                      <a:fillRect/>
                    </a:stretch>
                  </pic:blipFill>
                  <pic:spPr>
                    <a:xfrm>
                      <a:off x="0" y="0"/>
                      <a:ext cx="7539355" cy="10666095"/>
                    </a:xfrm>
                    <a:prstGeom prst="rect">
                      <a:avLst/>
                    </a:prstGeom>
                  </pic:spPr>
                </pic:pic>
              </a:graphicData>
            </a:graphic>
          </wp:anchor>
        </w:drawing>
      </w:r>
      <w:r>
        <w:rPr>
          <w:rFonts w:hAnsi="Calibri" w:cs="仿宋"/>
          <w:sz w:val="32"/>
          <w:szCs w:val="32"/>
        </w:rPr>
        <w:br w:type="page"/>
      </w:r>
    </w:p>
    <w:p w14:paraId="521BAFD6">
      <w:pPr>
        <w:rPr>
          <w:rFonts w:hint="eastAsia" w:hAnsi="Calibri" w:eastAsia="宋体" w:cs="仿宋"/>
          <w:sz w:val="32"/>
          <w:szCs w:val="32"/>
          <w:lang w:eastAsia="zh-CN"/>
        </w:rPr>
      </w:pPr>
      <w:r>
        <w:rPr>
          <w:rFonts w:hint="eastAsia" w:hAnsi="Calibri" w:eastAsia="宋体" w:cs="仿宋"/>
          <w:sz w:val="32"/>
          <w:szCs w:val="32"/>
          <w:lang w:eastAsia="zh-CN"/>
        </w:rPr>
        <w:drawing>
          <wp:anchor distT="0" distB="0" distL="114300" distR="114300" simplePos="0" relativeHeight="251671552" behindDoc="0" locked="0" layoutInCell="1" allowOverlap="1">
            <wp:simplePos x="0" y="0"/>
            <wp:positionH relativeFrom="column">
              <wp:posOffset>-1130300</wp:posOffset>
            </wp:positionH>
            <wp:positionV relativeFrom="page">
              <wp:posOffset>6350</wp:posOffset>
            </wp:positionV>
            <wp:extent cx="7553325" cy="10685780"/>
            <wp:effectExtent l="0" t="0" r="9525" b="1270"/>
            <wp:wrapNone/>
            <wp:docPr id="10" name="图片 10" descr="139047-射洪市瞿河学校_2023年部门决算公开编制说明（单位）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39047-射洪市瞿河学校_2023年部门决算公开编制说明（单位）_22"/>
                    <pic:cNvPicPr>
                      <a:picLocks noChangeAspect="1"/>
                    </pic:cNvPicPr>
                  </pic:nvPicPr>
                  <pic:blipFill>
                    <a:blip r:embed="rId18"/>
                    <a:stretch>
                      <a:fillRect/>
                    </a:stretch>
                  </pic:blipFill>
                  <pic:spPr>
                    <a:xfrm>
                      <a:off x="0" y="0"/>
                      <a:ext cx="7553325" cy="10685780"/>
                    </a:xfrm>
                    <a:prstGeom prst="rect">
                      <a:avLst/>
                    </a:prstGeom>
                  </pic:spPr>
                </pic:pic>
              </a:graphicData>
            </a:graphic>
          </wp:anchor>
        </w:drawing>
      </w:r>
      <w:r>
        <w:rPr>
          <w:rFonts w:hAnsi="Calibri" w:cs="仿宋"/>
          <w:sz w:val="32"/>
          <w:szCs w:val="32"/>
        </w:rPr>
        <w:br w:type="page"/>
      </w:r>
    </w:p>
    <w:p w14:paraId="7122B7E8">
      <w:pPr>
        <w:rPr>
          <w:rFonts w:hint="eastAsia" w:hAnsi="Calibri" w:eastAsia="宋体" w:cs="仿宋"/>
          <w:sz w:val="32"/>
          <w:szCs w:val="32"/>
          <w:lang w:eastAsia="zh-CN"/>
        </w:rPr>
      </w:pPr>
      <w:r>
        <w:rPr>
          <w:rFonts w:hint="eastAsia" w:hAnsi="Calibri" w:eastAsia="宋体" w:cs="仿宋"/>
          <w:sz w:val="32"/>
          <w:szCs w:val="32"/>
          <w:lang w:eastAsia="zh-CN"/>
        </w:rPr>
        <w:drawing>
          <wp:anchor distT="0" distB="0" distL="114300" distR="114300" simplePos="0" relativeHeight="251672576" behindDoc="0" locked="0" layoutInCell="1" allowOverlap="1">
            <wp:simplePos x="0" y="0"/>
            <wp:positionH relativeFrom="column">
              <wp:posOffset>-1132205</wp:posOffset>
            </wp:positionH>
            <wp:positionV relativeFrom="page">
              <wp:posOffset>13335</wp:posOffset>
            </wp:positionV>
            <wp:extent cx="7557135" cy="10690860"/>
            <wp:effectExtent l="0" t="0" r="5715" b="15240"/>
            <wp:wrapNone/>
            <wp:docPr id="11" name="图片 11" descr="139047-射洪市瞿河学校_2023年部门决算公开编制说明（单位）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39047-射洪市瞿河学校_2023年部门决算公开编制说明（单位）_23"/>
                    <pic:cNvPicPr>
                      <a:picLocks noChangeAspect="1"/>
                    </pic:cNvPicPr>
                  </pic:nvPicPr>
                  <pic:blipFill>
                    <a:blip r:embed="rId19"/>
                    <a:stretch>
                      <a:fillRect/>
                    </a:stretch>
                  </pic:blipFill>
                  <pic:spPr>
                    <a:xfrm>
                      <a:off x="0" y="0"/>
                      <a:ext cx="7557135" cy="10690860"/>
                    </a:xfrm>
                    <a:prstGeom prst="rect">
                      <a:avLst/>
                    </a:prstGeom>
                  </pic:spPr>
                </pic:pic>
              </a:graphicData>
            </a:graphic>
          </wp:anchor>
        </w:drawing>
      </w:r>
      <w:r>
        <w:rPr>
          <w:rFonts w:hAnsi="Calibri" w:cs="仿宋"/>
          <w:sz w:val="32"/>
          <w:szCs w:val="32"/>
        </w:rPr>
        <w:br w:type="page"/>
      </w:r>
    </w:p>
    <w:p w14:paraId="01F7A02E">
      <w:pPr>
        <w:rPr>
          <w:rFonts w:hint="eastAsia" w:hAnsi="Calibri" w:eastAsia="宋体" w:cs="仿宋"/>
          <w:sz w:val="32"/>
          <w:szCs w:val="32"/>
          <w:lang w:eastAsia="zh-CN"/>
        </w:rPr>
      </w:pPr>
      <w:r>
        <w:rPr>
          <w:rFonts w:hint="eastAsia" w:hAnsi="Calibri" w:eastAsia="宋体" w:cs="仿宋"/>
          <w:sz w:val="32"/>
          <w:szCs w:val="32"/>
          <w:lang w:eastAsia="zh-CN"/>
        </w:rPr>
        <w:drawing>
          <wp:anchor distT="0" distB="0" distL="114300" distR="114300" simplePos="0" relativeHeight="251673600" behindDoc="0" locked="0" layoutInCell="1" allowOverlap="1">
            <wp:simplePos x="0" y="0"/>
            <wp:positionH relativeFrom="column">
              <wp:posOffset>-1132205</wp:posOffset>
            </wp:positionH>
            <wp:positionV relativeFrom="page">
              <wp:posOffset>3810</wp:posOffset>
            </wp:positionV>
            <wp:extent cx="7548880" cy="10679430"/>
            <wp:effectExtent l="0" t="0" r="13970" b="7620"/>
            <wp:wrapNone/>
            <wp:docPr id="13" name="图片 13" descr="139047-射洪市瞿河学校_2023年部门决算公开编制说明（单位）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9047-射洪市瞿河学校_2023年部门决算公开编制说明（单位）_24"/>
                    <pic:cNvPicPr>
                      <a:picLocks noChangeAspect="1"/>
                    </pic:cNvPicPr>
                  </pic:nvPicPr>
                  <pic:blipFill>
                    <a:blip r:embed="rId20"/>
                    <a:stretch>
                      <a:fillRect/>
                    </a:stretch>
                  </pic:blipFill>
                  <pic:spPr>
                    <a:xfrm>
                      <a:off x="0" y="0"/>
                      <a:ext cx="7548880" cy="10679430"/>
                    </a:xfrm>
                    <a:prstGeom prst="rect">
                      <a:avLst/>
                    </a:prstGeom>
                  </pic:spPr>
                </pic:pic>
              </a:graphicData>
            </a:graphic>
          </wp:anchor>
        </w:drawing>
      </w:r>
      <w:r>
        <w:rPr>
          <w:rFonts w:hAnsi="Calibri" w:cs="仿宋"/>
          <w:sz w:val="32"/>
          <w:szCs w:val="32"/>
        </w:rPr>
        <w:br w:type="page"/>
      </w:r>
    </w:p>
    <w:p w14:paraId="6F0F1A99">
      <w:pPr>
        <w:rPr>
          <w:rFonts w:hint="eastAsia" w:hAnsi="Calibri" w:eastAsia="宋体" w:cs="仿宋"/>
          <w:sz w:val="32"/>
          <w:szCs w:val="32"/>
          <w:lang w:eastAsia="zh-CN"/>
        </w:rPr>
      </w:pPr>
      <w:r>
        <w:rPr>
          <w:rFonts w:hint="eastAsia" w:hAnsi="Calibri" w:eastAsia="宋体" w:cs="仿宋"/>
          <w:sz w:val="32"/>
          <w:szCs w:val="32"/>
          <w:lang w:eastAsia="zh-CN"/>
        </w:rPr>
        <w:drawing>
          <wp:anchor distT="0" distB="0" distL="114300" distR="114300" simplePos="0" relativeHeight="251674624" behindDoc="0" locked="0" layoutInCell="1" allowOverlap="1">
            <wp:simplePos x="0" y="0"/>
            <wp:positionH relativeFrom="column">
              <wp:posOffset>-1143000</wp:posOffset>
            </wp:positionH>
            <wp:positionV relativeFrom="page">
              <wp:posOffset>13970</wp:posOffset>
            </wp:positionV>
            <wp:extent cx="7548880" cy="10679430"/>
            <wp:effectExtent l="0" t="0" r="13970" b="7620"/>
            <wp:wrapNone/>
            <wp:docPr id="16" name="图片 16" descr="139047-射洪市瞿河学校_2023年部门决算公开编制说明（单位）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39047-射洪市瞿河学校_2023年部门决算公开编制说明（单位）_25"/>
                    <pic:cNvPicPr>
                      <a:picLocks noChangeAspect="1"/>
                    </pic:cNvPicPr>
                  </pic:nvPicPr>
                  <pic:blipFill>
                    <a:blip r:embed="rId21"/>
                    <a:stretch>
                      <a:fillRect/>
                    </a:stretch>
                  </pic:blipFill>
                  <pic:spPr>
                    <a:xfrm>
                      <a:off x="0" y="0"/>
                      <a:ext cx="7548880" cy="10679430"/>
                    </a:xfrm>
                    <a:prstGeom prst="rect">
                      <a:avLst/>
                    </a:prstGeom>
                  </pic:spPr>
                </pic:pic>
              </a:graphicData>
            </a:graphic>
          </wp:anchor>
        </w:drawing>
      </w:r>
      <w:r>
        <w:rPr>
          <w:rFonts w:hAnsi="Calibri" w:cs="仿宋"/>
          <w:sz w:val="32"/>
          <w:szCs w:val="32"/>
        </w:rPr>
        <w:br w:type="page"/>
      </w:r>
    </w:p>
    <w:p w14:paraId="59775B83">
      <w:pPr>
        <w:rPr>
          <w:rFonts w:hint="eastAsia" w:hAnsi="Calibri" w:eastAsia="宋体" w:cs="仿宋"/>
          <w:sz w:val="32"/>
          <w:szCs w:val="32"/>
          <w:lang w:eastAsia="zh-CN"/>
        </w:rPr>
      </w:pPr>
      <w:r>
        <w:rPr>
          <w:rFonts w:hint="eastAsia" w:hAnsi="Calibri" w:eastAsia="宋体" w:cs="仿宋"/>
          <w:sz w:val="32"/>
          <w:szCs w:val="32"/>
          <w:lang w:eastAsia="zh-CN"/>
        </w:rPr>
        <w:drawing>
          <wp:anchor distT="0" distB="0" distL="114300" distR="114300" simplePos="0" relativeHeight="251675648" behindDoc="0" locked="0" layoutInCell="1" allowOverlap="1">
            <wp:simplePos x="0" y="0"/>
            <wp:positionH relativeFrom="column">
              <wp:posOffset>-1132205</wp:posOffset>
            </wp:positionH>
            <wp:positionV relativeFrom="page">
              <wp:posOffset>3175</wp:posOffset>
            </wp:positionV>
            <wp:extent cx="7549515" cy="10680065"/>
            <wp:effectExtent l="0" t="0" r="13335" b="6985"/>
            <wp:wrapNone/>
            <wp:docPr id="17" name="图片 17" descr="139047-射洪市瞿河学校_2023年部门决算公开编制说明（单位）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39047-射洪市瞿河学校_2023年部门决算公开编制说明（单位）_26"/>
                    <pic:cNvPicPr>
                      <a:picLocks noChangeAspect="1"/>
                    </pic:cNvPicPr>
                  </pic:nvPicPr>
                  <pic:blipFill>
                    <a:blip r:embed="rId22"/>
                    <a:stretch>
                      <a:fillRect/>
                    </a:stretch>
                  </pic:blipFill>
                  <pic:spPr>
                    <a:xfrm>
                      <a:off x="0" y="0"/>
                      <a:ext cx="7549515" cy="10680065"/>
                    </a:xfrm>
                    <a:prstGeom prst="rect">
                      <a:avLst/>
                    </a:prstGeom>
                  </pic:spPr>
                </pic:pic>
              </a:graphicData>
            </a:graphic>
          </wp:anchor>
        </w:drawing>
      </w:r>
      <w:r>
        <w:rPr>
          <w:rFonts w:hAnsi="Calibri" w:cs="仿宋"/>
          <w:sz w:val="32"/>
          <w:szCs w:val="32"/>
        </w:rPr>
        <w:br w:type="page"/>
      </w:r>
    </w:p>
    <w:p w14:paraId="5E308C07">
      <w:pPr>
        <w:rPr>
          <w:rFonts w:hint="eastAsia" w:hAnsi="Calibri" w:eastAsia="宋体" w:cs="仿宋"/>
          <w:sz w:val="32"/>
          <w:szCs w:val="32"/>
          <w:lang w:eastAsia="zh-CN"/>
        </w:rPr>
      </w:pPr>
      <w:r>
        <w:rPr>
          <w:rFonts w:hint="eastAsia" w:hAnsi="Calibri" w:eastAsia="宋体" w:cs="仿宋"/>
          <w:sz w:val="32"/>
          <w:szCs w:val="32"/>
          <w:lang w:eastAsia="zh-CN"/>
        </w:rPr>
        <w:drawing>
          <wp:anchor distT="0" distB="0" distL="114300" distR="114300" simplePos="0" relativeHeight="251676672" behindDoc="0" locked="0" layoutInCell="1" allowOverlap="1">
            <wp:simplePos x="0" y="0"/>
            <wp:positionH relativeFrom="column">
              <wp:posOffset>-1132205</wp:posOffset>
            </wp:positionH>
            <wp:positionV relativeFrom="page">
              <wp:posOffset>3175</wp:posOffset>
            </wp:positionV>
            <wp:extent cx="7549515" cy="10680065"/>
            <wp:effectExtent l="0" t="0" r="13335" b="6985"/>
            <wp:wrapNone/>
            <wp:docPr id="18" name="图片 18" descr="139047-射洪市瞿河学校_2023年部门决算公开编制说明（单位）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39047-射洪市瞿河学校_2023年部门决算公开编制说明（单位）_27"/>
                    <pic:cNvPicPr>
                      <a:picLocks noChangeAspect="1"/>
                    </pic:cNvPicPr>
                  </pic:nvPicPr>
                  <pic:blipFill>
                    <a:blip r:embed="rId23"/>
                    <a:stretch>
                      <a:fillRect/>
                    </a:stretch>
                  </pic:blipFill>
                  <pic:spPr>
                    <a:xfrm>
                      <a:off x="0" y="0"/>
                      <a:ext cx="7549515" cy="10680065"/>
                    </a:xfrm>
                    <a:prstGeom prst="rect">
                      <a:avLst/>
                    </a:prstGeom>
                  </pic:spPr>
                </pic:pic>
              </a:graphicData>
            </a:graphic>
          </wp:anchor>
        </w:drawing>
      </w:r>
      <w:r>
        <w:rPr>
          <w:rFonts w:hAnsi="Calibri" w:cs="仿宋"/>
          <w:sz w:val="32"/>
          <w:szCs w:val="32"/>
        </w:rPr>
        <w:br w:type="page"/>
      </w:r>
    </w:p>
    <w:p w14:paraId="4D312C90">
      <w:pPr>
        <w:rPr>
          <w:rFonts w:hint="eastAsia" w:hAnsi="Calibri" w:eastAsia="宋体" w:cs="仿宋"/>
          <w:sz w:val="32"/>
          <w:szCs w:val="32"/>
          <w:lang w:eastAsia="zh-CN"/>
        </w:rPr>
      </w:pPr>
      <w:r>
        <w:rPr>
          <w:rFonts w:hint="eastAsia" w:hAnsi="Calibri" w:eastAsia="宋体" w:cs="仿宋"/>
          <w:sz w:val="32"/>
          <w:szCs w:val="32"/>
          <w:lang w:eastAsia="zh-CN"/>
        </w:rPr>
        <w:drawing>
          <wp:anchor distT="0" distB="0" distL="114300" distR="114300" simplePos="0" relativeHeight="251677696" behindDoc="0" locked="0" layoutInCell="1" allowOverlap="1">
            <wp:simplePos x="0" y="0"/>
            <wp:positionH relativeFrom="column">
              <wp:posOffset>-1132205</wp:posOffset>
            </wp:positionH>
            <wp:positionV relativeFrom="paragraph">
              <wp:posOffset>-901065</wp:posOffset>
            </wp:positionV>
            <wp:extent cx="7549515" cy="10680065"/>
            <wp:effectExtent l="0" t="0" r="13335" b="6985"/>
            <wp:wrapNone/>
            <wp:docPr id="19" name="图片 19" descr="139047-射洪市瞿河学校_2023年部门决算公开编制说明（单位）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39047-射洪市瞿河学校_2023年部门决算公开编制说明（单位）_28"/>
                    <pic:cNvPicPr>
                      <a:picLocks noChangeAspect="1"/>
                    </pic:cNvPicPr>
                  </pic:nvPicPr>
                  <pic:blipFill>
                    <a:blip r:embed="rId24"/>
                    <a:stretch>
                      <a:fillRect/>
                    </a:stretch>
                  </pic:blipFill>
                  <pic:spPr>
                    <a:xfrm>
                      <a:off x="0" y="0"/>
                      <a:ext cx="7549515" cy="10680065"/>
                    </a:xfrm>
                    <a:prstGeom prst="rect">
                      <a:avLst/>
                    </a:prstGeom>
                  </pic:spPr>
                </pic:pic>
              </a:graphicData>
            </a:graphic>
          </wp:anchor>
        </w:drawing>
      </w:r>
      <w:r>
        <w:rPr>
          <w:rFonts w:hAnsi="Calibri" w:cs="仿宋"/>
          <w:sz w:val="32"/>
          <w:szCs w:val="32"/>
        </w:rPr>
        <w:br w:type="page"/>
      </w:r>
    </w:p>
    <w:p w14:paraId="3DDF72B2">
      <w:pPr>
        <w:rPr>
          <w:rFonts w:hint="eastAsia" w:hAnsi="Calibri" w:eastAsia="宋体" w:cs="仿宋"/>
          <w:sz w:val="32"/>
          <w:szCs w:val="32"/>
          <w:lang w:eastAsia="zh-CN"/>
        </w:rPr>
      </w:pPr>
      <w:r>
        <w:rPr>
          <w:rFonts w:hint="eastAsia" w:hAnsi="Calibri" w:eastAsia="宋体" w:cs="仿宋"/>
          <w:sz w:val="32"/>
          <w:szCs w:val="32"/>
          <w:lang w:eastAsia="zh-CN"/>
        </w:rPr>
        <w:drawing>
          <wp:anchor distT="0" distB="0" distL="114300" distR="114300" simplePos="0" relativeHeight="251678720" behindDoc="0" locked="0" layoutInCell="1" allowOverlap="1">
            <wp:simplePos x="0" y="0"/>
            <wp:positionH relativeFrom="column">
              <wp:posOffset>-1132205</wp:posOffset>
            </wp:positionH>
            <wp:positionV relativeFrom="page">
              <wp:posOffset>3175</wp:posOffset>
            </wp:positionV>
            <wp:extent cx="7548880" cy="10679430"/>
            <wp:effectExtent l="0" t="0" r="13970" b="7620"/>
            <wp:wrapNone/>
            <wp:docPr id="20" name="图片 20" descr="139047-射洪市瞿河学校_2023年部门决算公开编制说明（单位）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39047-射洪市瞿河学校_2023年部门决算公开编制说明（单位）_29"/>
                    <pic:cNvPicPr>
                      <a:picLocks noChangeAspect="1"/>
                    </pic:cNvPicPr>
                  </pic:nvPicPr>
                  <pic:blipFill>
                    <a:blip r:embed="rId25"/>
                    <a:stretch>
                      <a:fillRect/>
                    </a:stretch>
                  </pic:blipFill>
                  <pic:spPr>
                    <a:xfrm>
                      <a:off x="0" y="0"/>
                      <a:ext cx="7548880" cy="10679430"/>
                    </a:xfrm>
                    <a:prstGeom prst="rect">
                      <a:avLst/>
                    </a:prstGeom>
                  </pic:spPr>
                </pic:pic>
              </a:graphicData>
            </a:graphic>
          </wp:anchor>
        </w:drawing>
      </w:r>
      <w:r>
        <w:rPr>
          <w:rFonts w:hAnsi="Calibri" w:cs="仿宋"/>
          <w:sz w:val="32"/>
          <w:szCs w:val="32"/>
        </w:rPr>
        <w:br w:type="page"/>
      </w:r>
    </w:p>
    <w:p w14:paraId="7EC2453A">
      <w:pPr>
        <w:rPr>
          <w:rFonts w:hint="eastAsia" w:hAnsi="Calibri" w:eastAsia="宋体" w:cs="仿宋"/>
          <w:sz w:val="32"/>
          <w:szCs w:val="32"/>
          <w:lang w:eastAsia="zh-CN"/>
        </w:rPr>
      </w:pPr>
      <w:r>
        <w:rPr>
          <w:rFonts w:hint="eastAsia" w:hAnsi="Calibri" w:eastAsia="宋体" w:cs="仿宋"/>
          <w:sz w:val="32"/>
          <w:szCs w:val="32"/>
          <w:lang w:eastAsia="zh-CN"/>
        </w:rPr>
        <w:drawing>
          <wp:anchor distT="0" distB="0" distL="114300" distR="114300" simplePos="0" relativeHeight="251679744" behindDoc="0" locked="0" layoutInCell="1" allowOverlap="1">
            <wp:simplePos x="0" y="0"/>
            <wp:positionH relativeFrom="column">
              <wp:posOffset>-1131570</wp:posOffset>
            </wp:positionH>
            <wp:positionV relativeFrom="page">
              <wp:posOffset>-6985</wp:posOffset>
            </wp:positionV>
            <wp:extent cx="7564755" cy="10701655"/>
            <wp:effectExtent l="0" t="0" r="17145" b="4445"/>
            <wp:wrapNone/>
            <wp:docPr id="21" name="图片 21" descr="139047-射洪市瞿河学校_2023年部门决算公开编制说明（单位）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39047-射洪市瞿河学校_2023年部门决算公开编制说明（单位）_30"/>
                    <pic:cNvPicPr>
                      <a:picLocks noChangeAspect="1"/>
                    </pic:cNvPicPr>
                  </pic:nvPicPr>
                  <pic:blipFill>
                    <a:blip r:embed="rId26"/>
                    <a:stretch>
                      <a:fillRect/>
                    </a:stretch>
                  </pic:blipFill>
                  <pic:spPr>
                    <a:xfrm>
                      <a:off x="0" y="0"/>
                      <a:ext cx="7564755" cy="10701655"/>
                    </a:xfrm>
                    <a:prstGeom prst="rect">
                      <a:avLst/>
                    </a:prstGeom>
                  </pic:spPr>
                </pic:pic>
              </a:graphicData>
            </a:graphic>
          </wp:anchor>
        </w:drawing>
      </w:r>
      <w:r>
        <w:rPr>
          <w:rFonts w:hAnsi="Calibri" w:cs="仿宋"/>
          <w:sz w:val="32"/>
          <w:szCs w:val="32"/>
        </w:rPr>
        <w:br w:type="page"/>
      </w:r>
    </w:p>
    <w:p w14:paraId="55AF52F0">
      <w:pPr>
        <w:rPr>
          <w:rFonts w:hint="eastAsia" w:hAnsi="Calibri" w:eastAsia="宋体" w:cs="仿宋"/>
          <w:sz w:val="32"/>
          <w:szCs w:val="32"/>
          <w:lang w:eastAsia="zh-CN"/>
        </w:rPr>
      </w:pPr>
      <w:r>
        <w:rPr>
          <w:rFonts w:hint="eastAsia" w:hAnsi="Calibri" w:eastAsia="宋体" w:cs="仿宋"/>
          <w:sz w:val="32"/>
          <w:szCs w:val="32"/>
          <w:lang w:eastAsia="zh-CN"/>
        </w:rPr>
        <w:drawing>
          <wp:anchor distT="0" distB="0" distL="114300" distR="114300" simplePos="0" relativeHeight="251680768" behindDoc="0" locked="0" layoutInCell="1" allowOverlap="1">
            <wp:simplePos x="0" y="0"/>
            <wp:positionH relativeFrom="column">
              <wp:posOffset>-1131570</wp:posOffset>
            </wp:positionH>
            <wp:positionV relativeFrom="page">
              <wp:posOffset>13335</wp:posOffset>
            </wp:positionV>
            <wp:extent cx="7557135" cy="10690860"/>
            <wp:effectExtent l="0" t="0" r="5715" b="15240"/>
            <wp:wrapNone/>
            <wp:docPr id="22" name="图片 22" descr="139047-射洪市瞿河学校_2023年部门决算公开编制说明（单位）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39047-射洪市瞿河学校_2023年部门决算公开编制说明（单位）_31"/>
                    <pic:cNvPicPr>
                      <a:picLocks noChangeAspect="1"/>
                    </pic:cNvPicPr>
                  </pic:nvPicPr>
                  <pic:blipFill>
                    <a:blip r:embed="rId27"/>
                    <a:stretch>
                      <a:fillRect/>
                    </a:stretch>
                  </pic:blipFill>
                  <pic:spPr>
                    <a:xfrm>
                      <a:off x="0" y="0"/>
                      <a:ext cx="7557135" cy="10690860"/>
                    </a:xfrm>
                    <a:prstGeom prst="rect">
                      <a:avLst/>
                    </a:prstGeom>
                  </pic:spPr>
                </pic:pic>
              </a:graphicData>
            </a:graphic>
          </wp:anchor>
        </w:drawing>
      </w:r>
      <w:r>
        <w:rPr>
          <w:rFonts w:hAnsi="Calibri" w:cs="仿宋"/>
          <w:sz w:val="32"/>
          <w:szCs w:val="32"/>
        </w:rPr>
        <w:br w:type="page"/>
      </w:r>
    </w:p>
    <w:p w14:paraId="692C4E55">
      <w:pPr>
        <w:rPr>
          <w:rFonts w:hAnsi="Calibri" w:cs="仿宋"/>
          <w:sz w:val="32"/>
          <w:szCs w:val="32"/>
        </w:rPr>
      </w:pPr>
      <w:r>
        <w:rPr>
          <w:rFonts w:hAnsi="Calibri" w:cs="仿宋"/>
          <w:sz w:val="32"/>
          <w:szCs w:val="32"/>
        </w:rPr>
        <w:drawing>
          <wp:anchor distT="0" distB="0" distL="114300" distR="114300" simplePos="0" relativeHeight="251681792" behindDoc="0" locked="0" layoutInCell="1" allowOverlap="1">
            <wp:simplePos x="0" y="0"/>
            <wp:positionH relativeFrom="column">
              <wp:posOffset>-1143635</wp:posOffset>
            </wp:positionH>
            <wp:positionV relativeFrom="page">
              <wp:posOffset>13970</wp:posOffset>
            </wp:positionV>
            <wp:extent cx="7557135" cy="10690860"/>
            <wp:effectExtent l="0" t="0" r="5715" b="15240"/>
            <wp:wrapNone/>
            <wp:docPr id="23" name="图片 23" descr="139047-射洪市瞿河学校_2023年部门决算公开编制说明（单位）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39047-射洪市瞿河学校_2023年部门决算公开编制说明（单位）_32"/>
                    <pic:cNvPicPr>
                      <a:picLocks noChangeAspect="1"/>
                    </pic:cNvPicPr>
                  </pic:nvPicPr>
                  <pic:blipFill>
                    <a:blip r:embed="rId28"/>
                    <a:stretch>
                      <a:fillRect/>
                    </a:stretch>
                  </pic:blipFill>
                  <pic:spPr>
                    <a:xfrm>
                      <a:off x="0" y="0"/>
                      <a:ext cx="7557135" cy="10690860"/>
                    </a:xfrm>
                    <a:prstGeom prst="rect">
                      <a:avLst/>
                    </a:prstGeom>
                  </pic:spPr>
                </pic:pic>
              </a:graphicData>
            </a:graphic>
          </wp:anchor>
        </w:drawing>
      </w:r>
      <w:r>
        <w:rPr>
          <w:rFonts w:hAnsi="Calibri" w:cs="仿宋"/>
          <w:sz w:val="32"/>
          <w:szCs w:val="32"/>
        </w:rPr>
        <w:br w:type="page"/>
      </w:r>
    </w:p>
    <w:p w14:paraId="65092700">
      <w:pPr>
        <w:rPr>
          <w:rFonts w:hint="eastAsia" w:hAnsi="Calibri" w:eastAsia="宋体" w:cs="仿宋"/>
          <w:sz w:val="32"/>
          <w:szCs w:val="32"/>
          <w:lang w:eastAsia="zh-CN"/>
        </w:rPr>
      </w:pPr>
      <w:r>
        <w:rPr>
          <w:rFonts w:hint="eastAsia" w:hAnsi="Calibri" w:eastAsia="宋体" w:cs="仿宋"/>
          <w:sz w:val="32"/>
          <w:szCs w:val="32"/>
          <w:lang w:eastAsia="zh-CN"/>
        </w:rPr>
        <w:drawing>
          <wp:anchor distT="0" distB="0" distL="114300" distR="114300" simplePos="0" relativeHeight="251682816" behindDoc="0" locked="0" layoutInCell="1" allowOverlap="1">
            <wp:simplePos x="0" y="0"/>
            <wp:positionH relativeFrom="column">
              <wp:posOffset>-1130300</wp:posOffset>
            </wp:positionH>
            <wp:positionV relativeFrom="paragraph">
              <wp:posOffset>-901065</wp:posOffset>
            </wp:positionV>
            <wp:extent cx="7549515" cy="10680065"/>
            <wp:effectExtent l="0" t="0" r="13335" b="6985"/>
            <wp:wrapNone/>
            <wp:docPr id="24" name="图片 24" descr="139047-射洪市瞿河学校_2023年部门决算公开编制说明（单位）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39047-射洪市瞿河学校_2023年部门决算公开编制说明（单位）_33"/>
                    <pic:cNvPicPr>
                      <a:picLocks noChangeAspect="1"/>
                    </pic:cNvPicPr>
                  </pic:nvPicPr>
                  <pic:blipFill>
                    <a:blip r:embed="rId29"/>
                    <a:stretch>
                      <a:fillRect/>
                    </a:stretch>
                  </pic:blipFill>
                  <pic:spPr>
                    <a:xfrm>
                      <a:off x="0" y="0"/>
                      <a:ext cx="7549515" cy="10680065"/>
                    </a:xfrm>
                    <a:prstGeom prst="rect">
                      <a:avLst/>
                    </a:prstGeom>
                  </pic:spPr>
                </pic:pic>
              </a:graphicData>
            </a:graphic>
          </wp:anchor>
        </w:drawing>
      </w:r>
      <w:r>
        <w:rPr>
          <w:rFonts w:hAnsi="Calibri" w:cs="仿宋"/>
          <w:sz w:val="32"/>
          <w:szCs w:val="32"/>
        </w:rPr>
        <w:br w:type="page"/>
      </w:r>
    </w:p>
    <w:p w14:paraId="574DE772">
      <w:pPr>
        <w:rPr>
          <w:rFonts w:hAnsi="Calibri" w:cs="仿宋"/>
          <w:sz w:val="32"/>
          <w:szCs w:val="32"/>
        </w:rPr>
      </w:pPr>
      <w:r>
        <w:rPr>
          <w:rFonts w:hAnsi="Calibri" w:cs="仿宋"/>
          <w:sz w:val="32"/>
          <w:szCs w:val="32"/>
        </w:rPr>
        <w:drawing>
          <wp:anchor distT="0" distB="0" distL="114300" distR="114300" simplePos="0" relativeHeight="251683840" behindDoc="0" locked="0" layoutInCell="1" allowOverlap="1">
            <wp:simplePos x="0" y="0"/>
            <wp:positionH relativeFrom="column">
              <wp:posOffset>-1131570</wp:posOffset>
            </wp:positionH>
            <wp:positionV relativeFrom="paragraph">
              <wp:posOffset>-911225</wp:posOffset>
            </wp:positionV>
            <wp:extent cx="7557135" cy="10690860"/>
            <wp:effectExtent l="0" t="0" r="5715" b="15240"/>
            <wp:wrapNone/>
            <wp:docPr id="25" name="图片 25" descr="139047-射洪市瞿河学校_2023年部门决算公开编制说明（单位）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39047-射洪市瞿河学校_2023年部门决算公开编制说明（单位）_34"/>
                    <pic:cNvPicPr>
                      <a:picLocks noChangeAspect="1"/>
                    </pic:cNvPicPr>
                  </pic:nvPicPr>
                  <pic:blipFill>
                    <a:blip r:embed="rId30"/>
                    <a:stretch>
                      <a:fillRect/>
                    </a:stretch>
                  </pic:blipFill>
                  <pic:spPr>
                    <a:xfrm>
                      <a:off x="0" y="0"/>
                      <a:ext cx="7557135" cy="10690860"/>
                    </a:xfrm>
                    <a:prstGeom prst="rect">
                      <a:avLst/>
                    </a:prstGeom>
                  </pic:spPr>
                </pic:pic>
              </a:graphicData>
            </a:graphic>
          </wp:anchor>
        </w:drawing>
      </w:r>
      <w:r>
        <w:rPr>
          <w:rFonts w:hAnsi="Calibri" w:cs="仿宋"/>
          <w:sz w:val="32"/>
          <w:szCs w:val="32"/>
        </w:rPr>
        <w:br w:type="page"/>
      </w:r>
    </w:p>
    <w:p w14:paraId="46035AF1">
      <w:pPr>
        <w:rPr>
          <w:rFonts w:hint="eastAsia" w:hAnsi="Calibri" w:eastAsia="宋体" w:cs="仿宋"/>
          <w:sz w:val="32"/>
          <w:szCs w:val="32"/>
          <w:lang w:eastAsia="zh-CN"/>
        </w:rPr>
      </w:pPr>
      <w:bookmarkStart w:id="111" w:name="_GoBack"/>
      <w:r>
        <w:rPr>
          <w:rFonts w:hint="eastAsia" w:hAnsi="Calibri" w:eastAsia="宋体" w:cs="仿宋"/>
          <w:sz w:val="32"/>
          <w:szCs w:val="32"/>
          <w:lang w:eastAsia="zh-CN"/>
        </w:rPr>
        <w:drawing>
          <wp:anchor distT="0" distB="0" distL="114300" distR="114300" simplePos="0" relativeHeight="251684864" behindDoc="0" locked="0" layoutInCell="1" allowOverlap="1">
            <wp:simplePos x="0" y="0"/>
            <wp:positionH relativeFrom="column">
              <wp:posOffset>-1134110</wp:posOffset>
            </wp:positionH>
            <wp:positionV relativeFrom="paragraph">
              <wp:posOffset>-921385</wp:posOffset>
            </wp:positionV>
            <wp:extent cx="7571105" cy="10711180"/>
            <wp:effectExtent l="0" t="0" r="10795" b="13970"/>
            <wp:wrapNone/>
            <wp:docPr id="26" name="图片 26" descr="139047-射洪市瞿河学校_2023年部门决算公开编制说明（单位）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39047-射洪市瞿河学校_2023年部门决算公开编制说明（单位）_35"/>
                    <pic:cNvPicPr>
                      <a:picLocks noChangeAspect="1"/>
                    </pic:cNvPicPr>
                  </pic:nvPicPr>
                  <pic:blipFill>
                    <a:blip r:embed="rId31"/>
                    <a:stretch>
                      <a:fillRect/>
                    </a:stretch>
                  </pic:blipFill>
                  <pic:spPr>
                    <a:xfrm>
                      <a:off x="0" y="0"/>
                      <a:ext cx="7571105" cy="10711180"/>
                    </a:xfrm>
                    <a:prstGeom prst="rect">
                      <a:avLst/>
                    </a:prstGeom>
                  </pic:spPr>
                </pic:pic>
              </a:graphicData>
            </a:graphic>
          </wp:anchor>
        </w:drawing>
      </w:r>
      <w:bookmarkEnd w:id="111"/>
      <w:r>
        <w:rPr>
          <w:rFonts w:hAnsi="Calibri" w:cs="仿宋"/>
          <w:sz w:val="32"/>
          <w:szCs w:val="32"/>
        </w:rPr>
        <w:br w:type="page"/>
      </w:r>
    </w:p>
    <w:p w14:paraId="699F7D94">
      <w:pPr>
        <w:pStyle w:val="6"/>
        <w:spacing w:before="93"/>
        <w:rPr>
          <w:rFonts w:hAnsi="Calibri" w:cs="仿宋"/>
          <w:sz w:val="32"/>
          <w:szCs w:val="32"/>
        </w:rPr>
      </w:pPr>
    </w:p>
    <w:p w14:paraId="10F358FB">
      <w:pPr>
        <w:pStyle w:val="6"/>
        <w:spacing w:before="93"/>
        <w:rPr>
          <w:rFonts w:hAnsi="Calibri" w:cs="仿宋"/>
          <w:sz w:val="32"/>
          <w:szCs w:val="32"/>
        </w:rPr>
      </w:pPr>
    </w:p>
    <w:p w14:paraId="7A76E06F">
      <w:pPr>
        <w:spacing w:line="600" w:lineRule="exact"/>
        <w:jc w:val="center"/>
        <w:outlineLvl w:val="0"/>
        <w:rPr>
          <w:rFonts w:ascii="仿宋" w:hAnsi="仿宋" w:eastAsia="仿宋"/>
        </w:rPr>
      </w:pPr>
      <w:bookmarkStart w:id="84" w:name="_Toc4144"/>
      <w:r>
        <w:rPr>
          <w:rFonts w:hint="eastAsia" w:ascii="黑体" w:hAnsi="黑体" w:eastAsia="黑体"/>
          <w:sz w:val="44"/>
          <w:szCs w:val="44"/>
        </w:rPr>
        <w:t>第</w:t>
      </w:r>
      <w:r>
        <w:rPr>
          <w:rStyle w:val="30"/>
          <w:rFonts w:hint="eastAsia" w:ascii="黑体" w:hAnsi="黑体" w:eastAsia="黑体"/>
          <w:b w:val="0"/>
        </w:rPr>
        <w:t>五部分 附表</w:t>
      </w:r>
      <w:bookmarkEnd w:id="72"/>
      <w:bookmarkEnd w:id="83"/>
      <w:bookmarkEnd w:id="84"/>
      <w:bookmarkStart w:id="85" w:name="_Toc15396619"/>
    </w:p>
    <w:p w14:paraId="05F38E97">
      <w:pPr>
        <w:pStyle w:val="4"/>
        <w:rPr>
          <w:rFonts w:ascii="仿宋" w:hAnsi="仿宋" w:eastAsia="仿宋"/>
        </w:rPr>
      </w:pPr>
      <w:bookmarkStart w:id="86" w:name="_Toc32445"/>
      <w:r>
        <w:rPr>
          <w:rFonts w:hint="eastAsia" w:ascii="仿宋" w:hAnsi="仿宋" w:eastAsia="仿宋"/>
          <w:b w:val="0"/>
        </w:rPr>
        <w:t>一、收</w:t>
      </w:r>
      <w:r>
        <w:rPr>
          <w:rStyle w:val="31"/>
          <w:rFonts w:hint="eastAsia" w:ascii="仿宋" w:hAnsi="仿宋" w:eastAsia="仿宋"/>
          <w:b w:val="0"/>
          <w:bCs w:val="0"/>
        </w:rPr>
        <w:t>入支出决算总表</w:t>
      </w:r>
      <w:bookmarkEnd w:id="85"/>
      <w:bookmarkEnd w:id="86"/>
    </w:p>
    <w:p w14:paraId="2C41407D">
      <w:pPr>
        <w:pStyle w:val="4"/>
        <w:rPr>
          <w:rFonts w:ascii="仿宋" w:hAnsi="仿宋" w:eastAsia="仿宋"/>
        </w:rPr>
      </w:pPr>
      <w:bookmarkStart w:id="87" w:name="_Toc8215"/>
      <w:bookmarkStart w:id="88" w:name="_Toc15396620"/>
      <w:r>
        <w:rPr>
          <w:rFonts w:hint="eastAsia" w:ascii="仿宋" w:hAnsi="仿宋" w:eastAsia="仿宋"/>
          <w:b w:val="0"/>
        </w:rPr>
        <w:t>二、收</w:t>
      </w:r>
      <w:r>
        <w:rPr>
          <w:rStyle w:val="31"/>
          <w:rFonts w:hint="eastAsia" w:ascii="仿宋" w:hAnsi="仿宋" w:eastAsia="仿宋"/>
          <w:b w:val="0"/>
          <w:bCs w:val="0"/>
        </w:rPr>
        <w:t>入决算表</w:t>
      </w:r>
      <w:bookmarkEnd w:id="87"/>
      <w:bookmarkEnd w:id="88"/>
    </w:p>
    <w:p w14:paraId="30390277">
      <w:pPr>
        <w:pStyle w:val="4"/>
        <w:rPr>
          <w:rFonts w:ascii="仿宋" w:hAnsi="仿宋" w:eastAsia="仿宋"/>
        </w:rPr>
      </w:pPr>
      <w:bookmarkStart w:id="89" w:name="_Toc29302"/>
      <w:bookmarkStart w:id="90" w:name="_Toc15396621"/>
      <w:r>
        <w:rPr>
          <w:rStyle w:val="31"/>
          <w:rFonts w:hint="eastAsia" w:ascii="仿宋" w:hAnsi="仿宋" w:eastAsia="仿宋"/>
          <w:b w:val="0"/>
          <w:bCs w:val="0"/>
        </w:rPr>
        <w:t>三、</w:t>
      </w:r>
      <w:r>
        <w:rPr>
          <w:rFonts w:hint="eastAsia" w:ascii="仿宋" w:hAnsi="仿宋" w:eastAsia="仿宋"/>
          <w:b w:val="0"/>
        </w:rPr>
        <w:t>支</w:t>
      </w:r>
      <w:r>
        <w:rPr>
          <w:rStyle w:val="31"/>
          <w:rFonts w:hint="eastAsia" w:ascii="仿宋" w:hAnsi="仿宋" w:eastAsia="仿宋"/>
          <w:b w:val="0"/>
          <w:bCs w:val="0"/>
        </w:rPr>
        <w:t>出决算表</w:t>
      </w:r>
      <w:bookmarkEnd w:id="89"/>
      <w:bookmarkEnd w:id="90"/>
    </w:p>
    <w:p w14:paraId="3E252A23">
      <w:pPr>
        <w:pStyle w:val="4"/>
        <w:rPr>
          <w:rFonts w:ascii="仿宋" w:hAnsi="仿宋" w:eastAsia="仿宋"/>
          <w:b w:val="0"/>
        </w:rPr>
      </w:pPr>
      <w:bookmarkStart w:id="91" w:name="_Toc8128"/>
      <w:bookmarkStart w:id="92" w:name="_Toc15396622"/>
      <w:r>
        <w:rPr>
          <w:rStyle w:val="31"/>
          <w:rFonts w:hint="eastAsia" w:ascii="仿宋" w:hAnsi="仿宋" w:eastAsia="仿宋"/>
          <w:b w:val="0"/>
          <w:bCs w:val="0"/>
        </w:rPr>
        <w:t>四、</w:t>
      </w:r>
      <w:r>
        <w:rPr>
          <w:rFonts w:hint="eastAsia" w:ascii="仿宋" w:hAnsi="仿宋" w:eastAsia="仿宋"/>
          <w:b w:val="0"/>
        </w:rPr>
        <w:t>财</w:t>
      </w:r>
      <w:r>
        <w:rPr>
          <w:rStyle w:val="31"/>
          <w:rFonts w:hint="eastAsia" w:ascii="仿宋" w:hAnsi="仿宋" w:eastAsia="仿宋"/>
          <w:b w:val="0"/>
          <w:bCs w:val="0"/>
        </w:rPr>
        <w:t>政拨款收入支出决算总表</w:t>
      </w:r>
      <w:bookmarkEnd w:id="91"/>
      <w:bookmarkEnd w:id="92"/>
    </w:p>
    <w:p w14:paraId="6C437079">
      <w:pPr>
        <w:pStyle w:val="4"/>
        <w:rPr>
          <w:rStyle w:val="31"/>
          <w:rFonts w:ascii="仿宋" w:hAnsi="仿宋" w:eastAsia="仿宋"/>
          <w:b w:val="0"/>
          <w:bCs w:val="0"/>
        </w:rPr>
      </w:pPr>
      <w:bookmarkStart w:id="93" w:name="_Toc5026"/>
      <w:bookmarkStart w:id="94" w:name="_Toc15396623"/>
      <w:r>
        <w:rPr>
          <w:rStyle w:val="31"/>
          <w:rFonts w:hint="eastAsia" w:ascii="仿宋" w:hAnsi="仿宋" w:eastAsia="仿宋"/>
          <w:b w:val="0"/>
          <w:bCs w:val="0"/>
        </w:rPr>
        <w:t>五、</w:t>
      </w:r>
      <w:r>
        <w:rPr>
          <w:rFonts w:hint="eastAsia" w:ascii="仿宋" w:hAnsi="仿宋" w:eastAsia="仿宋"/>
          <w:b w:val="0"/>
        </w:rPr>
        <w:t>财</w:t>
      </w:r>
      <w:r>
        <w:rPr>
          <w:rStyle w:val="31"/>
          <w:rFonts w:hint="eastAsia" w:ascii="仿宋" w:hAnsi="仿宋" w:eastAsia="仿宋"/>
          <w:b w:val="0"/>
          <w:bCs w:val="0"/>
        </w:rPr>
        <w:t>政拨款支出决算明细表</w:t>
      </w:r>
      <w:bookmarkEnd w:id="93"/>
      <w:bookmarkEnd w:id="94"/>
      <w:bookmarkStart w:id="95" w:name="_Toc15396624"/>
    </w:p>
    <w:p w14:paraId="1F73EB1F">
      <w:pPr>
        <w:pStyle w:val="4"/>
        <w:rPr>
          <w:rFonts w:ascii="仿宋" w:hAnsi="仿宋" w:eastAsia="仿宋"/>
        </w:rPr>
      </w:pPr>
      <w:bookmarkStart w:id="96" w:name="_Toc18926"/>
      <w:r>
        <w:rPr>
          <w:rStyle w:val="31"/>
          <w:rFonts w:hint="eastAsia" w:ascii="仿宋" w:hAnsi="仿宋" w:eastAsia="仿宋"/>
          <w:b w:val="0"/>
          <w:bCs w:val="0"/>
        </w:rPr>
        <w:t>六、</w:t>
      </w:r>
      <w:r>
        <w:rPr>
          <w:rFonts w:hint="eastAsia" w:ascii="仿宋" w:hAnsi="仿宋" w:eastAsia="仿宋"/>
          <w:b w:val="0"/>
        </w:rPr>
        <w:t>一</w:t>
      </w:r>
      <w:r>
        <w:rPr>
          <w:rStyle w:val="31"/>
          <w:rFonts w:hint="eastAsia" w:ascii="仿宋" w:hAnsi="仿宋" w:eastAsia="仿宋"/>
          <w:b w:val="0"/>
          <w:bCs w:val="0"/>
        </w:rPr>
        <w:t>般公共预算财政拨款支出决算表</w:t>
      </w:r>
      <w:bookmarkEnd w:id="95"/>
      <w:bookmarkEnd w:id="96"/>
    </w:p>
    <w:p w14:paraId="4A9BA693">
      <w:pPr>
        <w:pStyle w:val="4"/>
        <w:rPr>
          <w:rFonts w:ascii="仿宋" w:hAnsi="仿宋" w:eastAsia="仿宋"/>
        </w:rPr>
      </w:pPr>
      <w:bookmarkStart w:id="97" w:name="_Toc8613"/>
      <w:bookmarkStart w:id="98" w:name="_Toc15396625"/>
      <w:r>
        <w:rPr>
          <w:rStyle w:val="31"/>
          <w:rFonts w:hint="eastAsia" w:ascii="仿宋" w:hAnsi="仿宋" w:eastAsia="仿宋"/>
          <w:b w:val="0"/>
          <w:bCs w:val="0"/>
        </w:rPr>
        <w:t>七、</w:t>
      </w:r>
      <w:r>
        <w:rPr>
          <w:rFonts w:hint="eastAsia" w:ascii="仿宋" w:hAnsi="仿宋" w:eastAsia="仿宋"/>
          <w:b w:val="0"/>
        </w:rPr>
        <w:t>一</w:t>
      </w:r>
      <w:r>
        <w:rPr>
          <w:rStyle w:val="31"/>
          <w:rFonts w:hint="eastAsia" w:ascii="仿宋" w:hAnsi="仿宋" w:eastAsia="仿宋"/>
          <w:b w:val="0"/>
          <w:bCs w:val="0"/>
        </w:rPr>
        <w:t>般公共预算财政拨款支出决算明细表</w:t>
      </w:r>
      <w:bookmarkEnd w:id="97"/>
      <w:bookmarkEnd w:id="98"/>
    </w:p>
    <w:p w14:paraId="4D1B0118">
      <w:pPr>
        <w:pStyle w:val="4"/>
        <w:rPr>
          <w:rFonts w:ascii="仿宋" w:hAnsi="仿宋" w:eastAsia="仿宋"/>
        </w:rPr>
      </w:pPr>
      <w:bookmarkStart w:id="99" w:name="_Toc15396626"/>
      <w:bookmarkStart w:id="100" w:name="_Toc22876"/>
      <w:r>
        <w:rPr>
          <w:rStyle w:val="31"/>
          <w:rFonts w:hint="eastAsia" w:ascii="仿宋" w:hAnsi="仿宋" w:eastAsia="仿宋"/>
          <w:b w:val="0"/>
          <w:bCs w:val="0"/>
        </w:rPr>
        <w:t>八、</w:t>
      </w:r>
      <w:r>
        <w:rPr>
          <w:rFonts w:hint="eastAsia" w:ascii="仿宋" w:hAnsi="仿宋" w:eastAsia="仿宋"/>
          <w:b w:val="0"/>
        </w:rPr>
        <w:t>一</w:t>
      </w:r>
      <w:r>
        <w:rPr>
          <w:rStyle w:val="31"/>
          <w:rFonts w:hint="eastAsia" w:ascii="仿宋" w:hAnsi="仿宋" w:eastAsia="仿宋"/>
          <w:b w:val="0"/>
          <w:bCs w:val="0"/>
        </w:rPr>
        <w:t>般公共预算财政拨款基本支出决算表</w:t>
      </w:r>
      <w:bookmarkEnd w:id="99"/>
      <w:bookmarkEnd w:id="100"/>
    </w:p>
    <w:p w14:paraId="5E60E61B">
      <w:pPr>
        <w:pStyle w:val="4"/>
        <w:rPr>
          <w:rFonts w:ascii="仿宋" w:hAnsi="仿宋" w:eastAsia="仿宋"/>
        </w:rPr>
      </w:pPr>
      <w:bookmarkStart w:id="101" w:name="_Toc10643"/>
      <w:bookmarkStart w:id="102" w:name="_Toc15396627"/>
      <w:r>
        <w:rPr>
          <w:rStyle w:val="31"/>
          <w:rFonts w:hint="eastAsia" w:ascii="仿宋" w:hAnsi="仿宋" w:eastAsia="仿宋"/>
          <w:b w:val="0"/>
          <w:bCs w:val="0"/>
        </w:rPr>
        <w:t>九、</w:t>
      </w:r>
      <w:r>
        <w:rPr>
          <w:rFonts w:hint="eastAsia" w:ascii="仿宋" w:hAnsi="仿宋" w:eastAsia="仿宋"/>
          <w:b w:val="0"/>
        </w:rPr>
        <w:t>一</w:t>
      </w:r>
      <w:r>
        <w:rPr>
          <w:rStyle w:val="31"/>
          <w:rFonts w:hint="eastAsia" w:ascii="仿宋" w:hAnsi="仿宋" w:eastAsia="仿宋"/>
          <w:b w:val="0"/>
          <w:bCs w:val="0"/>
        </w:rPr>
        <w:t>般公共预算财政拨款项目支出决算表</w:t>
      </w:r>
      <w:bookmarkEnd w:id="101"/>
      <w:bookmarkEnd w:id="102"/>
    </w:p>
    <w:p w14:paraId="65F9A469">
      <w:pPr>
        <w:pStyle w:val="4"/>
        <w:rPr>
          <w:rFonts w:ascii="仿宋" w:hAnsi="仿宋" w:eastAsia="仿宋"/>
        </w:rPr>
      </w:pPr>
      <w:bookmarkStart w:id="103" w:name="_Toc15396628"/>
      <w:bookmarkStart w:id="104" w:name="_Toc30475"/>
      <w:r>
        <w:rPr>
          <w:rStyle w:val="31"/>
          <w:rFonts w:hint="eastAsia" w:ascii="仿宋" w:hAnsi="仿宋" w:eastAsia="仿宋"/>
          <w:b w:val="0"/>
          <w:bCs w:val="0"/>
        </w:rPr>
        <w:t>十、</w:t>
      </w:r>
      <w:bookmarkEnd w:id="103"/>
      <w:r>
        <w:rPr>
          <w:rFonts w:hint="eastAsia" w:ascii="仿宋" w:hAnsi="仿宋" w:eastAsia="仿宋"/>
          <w:b w:val="0"/>
        </w:rPr>
        <w:t>政</w:t>
      </w:r>
      <w:r>
        <w:rPr>
          <w:rStyle w:val="31"/>
          <w:rFonts w:hint="eastAsia" w:ascii="仿宋" w:hAnsi="仿宋" w:eastAsia="仿宋"/>
          <w:b w:val="0"/>
          <w:bCs w:val="0"/>
        </w:rPr>
        <w:t>府性基金预算财政拨款收入支出决算表</w:t>
      </w:r>
      <w:bookmarkEnd w:id="104"/>
    </w:p>
    <w:p w14:paraId="280EFE0D">
      <w:pPr>
        <w:pStyle w:val="4"/>
        <w:rPr>
          <w:rFonts w:ascii="仿宋" w:hAnsi="仿宋" w:eastAsia="仿宋"/>
        </w:rPr>
      </w:pPr>
      <w:bookmarkStart w:id="105" w:name="_Toc15396629"/>
      <w:bookmarkStart w:id="106" w:name="_Toc10169"/>
      <w:r>
        <w:rPr>
          <w:rStyle w:val="31"/>
          <w:rFonts w:hint="eastAsia" w:ascii="仿宋" w:hAnsi="仿宋" w:eastAsia="仿宋"/>
          <w:b w:val="0"/>
          <w:bCs w:val="0"/>
        </w:rPr>
        <w:t>十一、</w:t>
      </w:r>
      <w:bookmarkEnd w:id="105"/>
      <w:r>
        <w:rPr>
          <w:rFonts w:hint="eastAsia" w:ascii="仿宋" w:hAnsi="仿宋" w:eastAsia="仿宋"/>
          <w:b w:val="0"/>
        </w:rPr>
        <w:t>国</w:t>
      </w:r>
      <w:r>
        <w:rPr>
          <w:rStyle w:val="31"/>
          <w:rFonts w:hint="eastAsia" w:ascii="仿宋" w:hAnsi="仿宋" w:eastAsia="仿宋"/>
          <w:b w:val="0"/>
          <w:bCs w:val="0"/>
        </w:rPr>
        <w:t>有资本经营预算财政拨款收入支出决算表</w:t>
      </w:r>
      <w:bookmarkEnd w:id="106"/>
    </w:p>
    <w:p w14:paraId="0C9F24DC">
      <w:pPr>
        <w:pStyle w:val="4"/>
        <w:rPr>
          <w:rFonts w:ascii="仿宋" w:hAnsi="仿宋" w:eastAsia="仿宋"/>
        </w:rPr>
      </w:pPr>
      <w:bookmarkStart w:id="107" w:name="_Toc15396630"/>
      <w:bookmarkStart w:id="108" w:name="_Toc4127"/>
      <w:r>
        <w:rPr>
          <w:rStyle w:val="31"/>
          <w:rFonts w:hint="eastAsia" w:ascii="仿宋" w:hAnsi="仿宋" w:eastAsia="仿宋"/>
          <w:b w:val="0"/>
          <w:bCs w:val="0"/>
        </w:rPr>
        <w:t>十二、</w:t>
      </w:r>
      <w:bookmarkEnd w:id="107"/>
      <w:r>
        <w:rPr>
          <w:rStyle w:val="31"/>
          <w:rFonts w:hint="eastAsia" w:ascii="仿宋" w:hAnsi="仿宋" w:eastAsia="仿宋"/>
          <w:b w:val="0"/>
          <w:bCs w:val="0"/>
        </w:rPr>
        <w:t>国有资本经营预算财政拨款支出决算表</w:t>
      </w:r>
      <w:bookmarkEnd w:id="108"/>
    </w:p>
    <w:p w14:paraId="27615BF7">
      <w:pPr>
        <w:pStyle w:val="4"/>
        <w:rPr>
          <w:rFonts w:eastAsia="仿宋"/>
        </w:rPr>
      </w:pPr>
      <w:bookmarkStart w:id="109" w:name="_Toc15396631"/>
      <w:bookmarkStart w:id="110" w:name="_Toc22158"/>
      <w:r>
        <w:rPr>
          <w:rStyle w:val="31"/>
          <w:rFonts w:hint="eastAsia" w:ascii="仿宋" w:hAnsi="仿宋" w:eastAsia="仿宋"/>
          <w:b w:val="0"/>
          <w:bCs w:val="0"/>
        </w:rPr>
        <w:t>十三、</w:t>
      </w:r>
      <w:bookmarkEnd w:id="109"/>
      <w:r>
        <w:rPr>
          <w:rStyle w:val="31"/>
          <w:rFonts w:hint="eastAsia" w:ascii="仿宋" w:hAnsi="仿宋" w:eastAsia="仿宋"/>
          <w:b w:val="0"/>
          <w:bCs w:val="0"/>
        </w:rPr>
        <w:t>财政拨款“三公”经费支出决算表</w:t>
      </w:r>
      <w:bookmarkEnd w:id="110"/>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F2086F9-7D79-4AAA-9579-52CBB1B2686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BBD82D01-4613-42B1-A12B-9A2BA41F0046}"/>
  </w:font>
  <w:font w:name="Cambria">
    <w:panose1 w:val="02040503050406030204"/>
    <w:charset w:val="00"/>
    <w:family w:val="roman"/>
    <w:pitch w:val="default"/>
    <w:sig w:usb0="E00002FF" w:usb1="400004FF" w:usb2="00000000" w:usb3="00000000" w:csb0="2000019F" w:csb1="00000000"/>
    <w:embedRegular r:id="rId3" w:fontKey="{F2E710CC-6075-41C5-822A-6493808FAE0B}"/>
  </w:font>
  <w:font w:name="方正仿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4" w:fontKey="{D09523A2-ECA5-4501-9E73-2FCBE088C92A}"/>
  </w:font>
  <w:font w:name="仿宋">
    <w:panose1 w:val="02010609060101010101"/>
    <w:charset w:val="86"/>
    <w:family w:val="modern"/>
    <w:pitch w:val="default"/>
    <w:sig w:usb0="800002BF" w:usb1="38CF7CFA" w:usb2="00000016" w:usb3="00000000" w:csb0="00040001" w:csb1="00000000"/>
    <w:embedRegular r:id="rId5" w:fontKey="{8F83CA2D-00AA-4716-A875-0C478903AA02}"/>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21C7673F">
        <w:pPr>
          <w:pStyle w:val="10"/>
          <w:jc w:val="center"/>
        </w:pPr>
        <w:r>
          <w:fldChar w:fldCharType="begin"/>
        </w:r>
        <w:r>
          <w:instrText xml:space="preserve">PAGE   \* MERGEFORMAT</w:instrText>
        </w:r>
        <w:r>
          <w:fldChar w:fldCharType="separate"/>
        </w:r>
        <w:r>
          <w:rPr>
            <w:lang w:val="zh-CN"/>
          </w:rPr>
          <w:t>15</w:t>
        </w:r>
        <w:r>
          <w:fldChar w:fldCharType="end"/>
        </w:r>
      </w:p>
    </w:sdtContent>
  </w:sdt>
  <w:p w14:paraId="79CA87F6">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20FB3">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FFB87"/>
    <w:multiLevelType w:val="singleLevel"/>
    <w:tmpl w:val="88EFFB87"/>
    <w:lvl w:ilvl="0" w:tentative="0">
      <w:start w:val="1"/>
      <w:numFmt w:val="decimal"/>
      <w:suff w:val="nothing"/>
      <w:lvlText w:val="%1．"/>
      <w:lvlJc w:val="left"/>
      <w:pPr>
        <w:ind w:left="0" w:firstLine="400"/>
      </w:pPr>
      <w:rPr>
        <w:rFonts w:hint="default"/>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3818A09A"/>
    <w:multiLevelType w:val="singleLevel"/>
    <w:tmpl w:val="3818A09A"/>
    <w:lvl w:ilvl="0" w:tentative="0">
      <w:start w:val="1"/>
      <w:numFmt w:val="chineseCounting"/>
      <w:suff w:val="nothing"/>
      <w:lvlText w:val="%1、"/>
      <w:lvlJc w:val="left"/>
      <w:rPr>
        <w:rFonts w:hint="eastAsia"/>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NkZGMzMjE2MmE4NzZiODZlYzlhMWVlZTliMDdjMWE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1DAD"/>
    <w:rsid w:val="001C0962"/>
    <w:rsid w:val="001D7531"/>
    <w:rsid w:val="001E737D"/>
    <w:rsid w:val="001F0592"/>
    <w:rsid w:val="001F7506"/>
    <w:rsid w:val="002006CD"/>
    <w:rsid w:val="00202B36"/>
    <w:rsid w:val="00204B7A"/>
    <w:rsid w:val="00204CDE"/>
    <w:rsid w:val="00206907"/>
    <w:rsid w:val="0021101A"/>
    <w:rsid w:val="00212B4A"/>
    <w:rsid w:val="00220536"/>
    <w:rsid w:val="00235629"/>
    <w:rsid w:val="00260C38"/>
    <w:rsid w:val="002616C0"/>
    <w:rsid w:val="00265372"/>
    <w:rsid w:val="002662AA"/>
    <w:rsid w:val="00280496"/>
    <w:rsid w:val="00294DC9"/>
    <w:rsid w:val="00295495"/>
    <w:rsid w:val="002A31DE"/>
    <w:rsid w:val="002B2613"/>
    <w:rsid w:val="002C5004"/>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25C50"/>
    <w:rsid w:val="0043177C"/>
    <w:rsid w:val="00434489"/>
    <w:rsid w:val="00437085"/>
    <w:rsid w:val="00443880"/>
    <w:rsid w:val="004464F4"/>
    <w:rsid w:val="0046049C"/>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533CF"/>
    <w:rsid w:val="005664BB"/>
    <w:rsid w:val="00566FFA"/>
    <w:rsid w:val="0057481D"/>
    <w:rsid w:val="0058486E"/>
    <w:rsid w:val="00585B33"/>
    <w:rsid w:val="0059014D"/>
    <w:rsid w:val="005B5C64"/>
    <w:rsid w:val="005B6E8A"/>
    <w:rsid w:val="005C5337"/>
    <w:rsid w:val="005C6BD0"/>
    <w:rsid w:val="005D1C8B"/>
    <w:rsid w:val="005D468D"/>
    <w:rsid w:val="005D5CED"/>
    <w:rsid w:val="005F10BC"/>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55FC5"/>
    <w:rsid w:val="0066343B"/>
    <w:rsid w:val="00664777"/>
    <w:rsid w:val="006748A4"/>
    <w:rsid w:val="00681A31"/>
    <w:rsid w:val="00683E73"/>
    <w:rsid w:val="006A3141"/>
    <w:rsid w:val="006A5E34"/>
    <w:rsid w:val="006B2422"/>
    <w:rsid w:val="006B2B9A"/>
    <w:rsid w:val="006C1937"/>
    <w:rsid w:val="006F020C"/>
    <w:rsid w:val="0071021A"/>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10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C7FD8"/>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07F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1E6F"/>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3DC2831"/>
    <w:rsid w:val="081B5E94"/>
    <w:rsid w:val="0A2032A3"/>
    <w:rsid w:val="0B8A37D8"/>
    <w:rsid w:val="0F5FFB2F"/>
    <w:rsid w:val="0FFFCF60"/>
    <w:rsid w:val="10C055FF"/>
    <w:rsid w:val="118107EC"/>
    <w:rsid w:val="11DD6519"/>
    <w:rsid w:val="135F0D62"/>
    <w:rsid w:val="137D5290"/>
    <w:rsid w:val="148D31D9"/>
    <w:rsid w:val="16BB723D"/>
    <w:rsid w:val="18015F3F"/>
    <w:rsid w:val="19EC2827"/>
    <w:rsid w:val="1B6D3696"/>
    <w:rsid w:val="1BE8440E"/>
    <w:rsid w:val="1D155CEE"/>
    <w:rsid w:val="1EAA2CB1"/>
    <w:rsid w:val="1FDBBF84"/>
    <w:rsid w:val="20F57F95"/>
    <w:rsid w:val="22737F8A"/>
    <w:rsid w:val="240371BF"/>
    <w:rsid w:val="25711CC6"/>
    <w:rsid w:val="25C741E6"/>
    <w:rsid w:val="26C30DB4"/>
    <w:rsid w:val="276F80C0"/>
    <w:rsid w:val="27842671"/>
    <w:rsid w:val="29FD04D3"/>
    <w:rsid w:val="2ABE7A3E"/>
    <w:rsid w:val="2AFF09B6"/>
    <w:rsid w:val="2CA234A8"/>
    <w:rsid w:val="2EFA178C"/>
    <w:rsid w:val="2EFDF86C"/>
    <w:rsid w:val="2F9D17E1"/>
    <w:rsid w:val="306F77CE"/>
    <w:rsid w:val="30B46D73"/>
    <w:rsid w:val="319F7F4E"/>
    <w:rsid w:val="331240A6"/>
    <w:rsid w:val="356A28F1"/>
    <w:rsid w:val="357C035A"/>
    <w:rsid w:val="368E000D"/>
    <w:rsid w:val="37E028A5"/>
    <w:rsid w:val="383D272C"/>
    <w:rsid w:val="39AE70AB"/>
    <w:rsid w:val="3A4DCE41"/>
    <w:rsid w:val="3B7D0B7F"/>
    <w:rsid w:val="3BCB56FA"/>
    <w:rsid w:val="3C0C0783"/>
    <w:rsid w:val="3EE7C2F4"/>
    <w:rsid w:val="3F371B56"/>
    <w:rsid w:val="3F6F1B39"/>
    <w:rsid w:val="3F792ED8"/>
    <w:rsid w:val="3F9F3A96"/>
    <w:rsid w:val="3FA702FB"/>
    <w:rsid w:val="3FECA4B2"/>
    <w:rsid w:val="3FF58C48"/>
    <w:rsid w:val="42FF6694"/>
    <w:rsid w:val="48BF60AB"/>
    <w:rsid w:val="493C27E9"/>
    <w:rsid w:val="496F39ED"/>
    <w:rsid w:val="49A85EBB"/>
    <w:rsid w:val="49FF41D3"/>
    <w:rsid w:val="4BE068DB"/>
    <w:rsid w:val="4BF6002B"/>
    <w:rsid w:val="4BFFC6BE"/>
    <w:rsid w:val="4ECE2238"/>
    <w:rsid w:val="4FDE7468"/>
    <w:rsid w:val="51DB4B86"/>
    <w:rsid w:val="51F64DB0"/>
    <w:rsid w:val="5304032D"/>
    <w:rsid w:val="55333C3E"/>
    <w:rsid w:val="55F8480C"/>
    <w:rsid w:val="5E921DED"/>
    <w:rsid w:val="5F67802D"/>
    <w:rsid w:val="5F7DC4F2"/>
    <w:rsid w:val="5FB36814"/>
    <w:rsid w:val="5FBB8E56"/>
    <w:rsid w:val="5FFB5535"/>
    <w:rsid w:val="64CA39A1"/>
    <w:rsid w:val="670C7172"/>
    <w:rsid w:val="69630ADE"/>
    <w:rsid w:val="69BD5F13"/>
    <w:rsid w:val="69FB0B4B"/>
    <w:rsid w:val="6BFFE1FB"/>
    <w:rsid w:val="6C4A05C8"/>
    <w:rsid w:val="6D3B1A89"/>
    <w:rsid w:val="6DB7D8A3"/>
    <w:rsid w:val="6EC78701"/>
    <w:rsid w:val="6F7A5481"/>
    <w:rsid w:val="6FFE07A9"/>
    <w:rsid w:val="71BF4EC2"/>
    <w:rsid w:val="72734D90"/>
    <w:rsid w:val="73E75B71"/>
    <w:rsid w:val="7412278C"/>
    <w:rsid w:val="75DDCDA9"/>
    <w:rsid w:val="75FF44B1"/>
    <w:rsid w:val="77670518"/>
    <w:rsid w:val="777FA627"/>
    <w:rsid w:val="77DF1B5F"/>
    <w:rsid w:val="77EF2D9D"/>
    <w:rsid w:val="79E7B28D"/>
    <w:rsid w:val="7A652E89"/>
    <w:rsid w:val="7A8E3BA4"/>
    <w:rsid w:val="7ACFF0C2"/>
    <w:rsid w:val="7AFB9108"/>
    <w:rsid w:val="7BD5340C"/>
    <w:rsid w:val="7BFB19D2"/>
    <w:rsid w:val="7BFD1750"/>
    <w:rsid w:val="7BFDAA1B"/>
    <w:rsid w:val="7CDF9A82"/>
    <w:rsid w:val="7CFFA1BD"/>
    <w:rsid w:val="7D2E3F7A"/>
    <w:rsid w:val="7DB54128"/>
    <w:rsid w:val="7DED9490"/>
    <w:rsid w:val="7DFF4872"/>
    <w:rsid w:val="7E7487E6"/>
    <w:rsid w:val="7E7C2A54"/>
    <w:rsid w:val="7EEEFD72"/>
    <w:rsid w:val="7F1D517C"/>
    <w:rsid w:val="7F5DA057"/>
    <w:rsid w:val="7F6C2237"/>
    <w:rsid w:val="7F7F319B"/>
    <w:rsid w:val="7F9F20EE"/>
    <w:rsid w:val="7FBBE890"/>
    <w:rsid w:val="7FBC2ABD"/>
    <w:rsid w:val="7FBF5D48"/>
    <w:rsid w:val="7FCCFC01"/>
    <w:rsid w:val="7FDD1748"/>
    <w:rsid w:val="7FDF36DE"/>
    <w:rsid w:val="7FE769C6"/>
    <w:rsid w:val="7FFD083E"/>
    <w:rsid w:val="7FFF9372"/>
    <w:rsid w:val="84BF1F3B"/>
    <w:rsid w:val="8F55B106"/>
    <w:rsid w:val="95DF317D"/>
    <w:rsid w:val="97E77C70"/>
    <w:rsid w:val="9E3A10E2"/>
    <w:rsid w:val="9FB91FBD"/>
    <w:rsid w:val="9FD54998"/>
    <w:rsid w:val="A671883B"/>
    <w:rsid w:val="A7EFD17F"/>
    <w:rsid w:val="A7FFE43F"/>
    <w:rsid w:val="BDFEA317"/>
    <w:rsid w:val="CD9BBABB"/>
    <w:rsid w:val="CF99F292"/>
    <w:rsid w:val="D5DA60B3"/>
    <w:rsid w:val="D7C6F579"/>
    <w:rsid w:val="D8FECA92"/>
    <w:rsid w:val="DAFFBE66"/>
    <w:rsid w:val="DD2C0BFE"/>
    <w:rsid w:val="DE3F332B"/>
    <w:rsid w:val="DE6F4A3D"/>
    <w:rsid w:val="DF69F8B0"/>
    <w:rsid w:val="DFC71555"/>
    <w:rsid w:val="DFFC559C"/>
    <w:rsid w:val="DFFEDFAE"/>
    <w:rsid w:val="DFFFB5EB"/>
    <w:rsid w:val="E4B33E57"/>
    <w:rsid w:val="E5BF946A"/>
    <w:rsid w:val="EB39BD45"/>
    <w:rsid w:val="EBCF1FC2"/>
    <w:rsid w:val="EBD18F66"/>
    <w:rsid w:val="ED17392C"/>
    <w:rsid w:val="ED9FFD9A"/>
    <w:rsid w:val="EDB7968B"/>
    <w:rsid w:val="EEF73F60"/>
    <w:rsid w:val="EFED9E42"/>
    <w:rsid w:val="EFFFB194"/>
    <w:rsid w:val="F2E1F9D4"/>
    <w:rsid w:val="F5FF7449"/>
    <w:rsid w:val="F7880819"/>
    <w:rsid w:val="F7AF180D"/>
    <w:rsid w:val="F7BDBFA7"/>
    <w:rsid w:val="F7FAD68F"/>
    <w:rsid w:val="F7FB14CF"/>
    <w:rsid w:val="FB3FC69C"/>
    <w:rsid w:val="FBDFF225"/>
    <w:rsid w:val="FBF7AB63"/>
    <w:rsid w:val="FC2F3373"/>
    <w:rsid w:val="FCF51535"/>
    <w:rsid w:val="FD77F6B8"/>
    <w:rsid w:val="FDD69328"/>
    <w:rsid w:val="FDDFEC0E"/>
    <w:rsid w:val="FDE58BDD"/>
    <w:rsid w:val="FDEC7001"/>
    <w:rsid w:val="FEDFE87F"/>
    <w:rsid w:val="FEF1D25B"/>
    <w:rsid w:val="FF3EF90F"/>
    <w:rsid w:val="FFAF6081"/>
    <w:rsid w:val="FFECCD8C"/>
    <w:rsid w:val="FFED60BD"/>
    <w:rsid w:val="FFEE08F0"/>
    <w:rsid w:val="FFEE7F9F"/>
    <w:rsid w:val="FFFF3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常用样式（方正仿宋简）"/>
    <w:basedOn w:val="1"/>
    <w:next w:val="1"/>
    <w:autoRedefine/>
    <w:qFormat/>
    <w:uiPriority w:val="0"/>
    <w:pPr>
      <w:spacing w:line="560" w:lineRule="exact"/>
      <w:ind w:firstLine="200" w:firstLineChars="200"/>
    </w:pPr>
    <w:rPr>
      <w:rFonts w:ascii="Calibri" w:hAnsi="Calibri" w:eastAsia="方正仿宋简体"/>
      <w:sz w:val="32"/>
    </w:rPr>
  </w:style>
  <w:style w:type="paragraph" w:styleId="6">
    <w:name w:val="Body Text"/>
    <w:basedOn w:val="1"/>
    <w:link w:val="27"/>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200"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3"/>
    <w:semiHidden/>
    <w:unhideWhenUsed/>
    <w:qFormat/>
    <w:uiPriority w:val="99"/>
    <w:rPr>
      <w:sz w:val="18"/>
      <w:szCs w:val="18"/>
    </w:rPr>
  </w:style>
  <w:style w:type="paragraph" w:styleId="10">
    <w:name w:val="footer"/>
    <w:basedOn w:val="1"/>
    <w:link w:val="25"/>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Title"/>
    <w:basedOn w:val="1"/>
    <w:next w:val="15"/>
    <w:qFormat/>
    <w:uiPriority w:val="0"/>
    <w:pPr>
      <w:spacing w:before="240" w:after="60"/>
      <w:jc w:val="center"/>
      <w:outlineLvl w:val="0"/>
    </w:pPr>
    <w:rPr>
      <w:rFonts w:ascii="Cambria" w:hAnsi="Cambria" w:eastAsia="宋体" w:cs="Times New Roman"/>
      <w:b/>
      <w:bCs/>
      <w:kern w:val="0"/>
      <w:sz w:val="32"/>
      <w:szCs w:val="32"/>
    </w:rPr>
  </w:style>
  <w:style w:type="paragraph" w:customStyle="1" w:styleId="15">
    <w:name w:val="Body Text Indent1"/>
    <w:basedOn w:val="1"/>
    <w:next w:val="1"/>
    <w:autoRedefine/>
    <w:qFormat/>
    <w:uiPriority w:val="0"/>
    <w:pPr>
      <w:spacing w:after="120"/>
      <w:ind w:left="420" w:leftChars="200"/>
    </w:pPr>
    <w:rPr>
      <w:rFonts w:ascii="Times New Roman" w:hAnsi="Times New Roman" w:eastAsia="宋体" w:cs="Times New Roman"/>
      <w:sz w:val="24"/>
      <w:szCs w:val="20"/>
    </w:rPr>
  </w:style>
  <w:style w:type="paragraph" w:styleId="16">
    <w:name w:val="Body Text First Indent 2"/>
    <w:basedOn w:val="7"/>
    <w:unhideWhenUsed/>
    <w:qFormat/>
    <w:uiPriority w:val="99"/>
    <w:pPr>
      <w:ind w:firstLine="420" w:firstLineChars="200"/>
    </w:pPr>
  </w:style>
  <w:style w:type="character" w:styleId="19">
    <w:name w:val="Strong"/>
    <w:basedOn w:val="18"/>
    <w:qFormat/>
    <w:uiPriority w:val="99"/>
    <w:rPr>
      <w:b/>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paragraph" w:customStyle="1" w:styleId="21">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2">
    <w:name w:val="Header Char"/>
    <w:basedOn w:val="18"/>
    <w:semiHidden/>
    <w:qFormat/>
    <w:uiPriority w:val="99"/>
    <w:rPr>
      <w:rFonts w:ascii="Times New Roman" w:hAnsi="Times New Roman"/>
      <w:sz w:val="18"/>
      <w:szCs w:val="18"/>
    </w:rPr>
  </w:style>
  <w:style w:type="character" w:customStyle="1" w:styleId="23">
    <w:name w:val="页眉 字符"/>
    <w:link w:val="11"/>
    <w:semiHidden/>
    <w:qFormat/>
    <w:locked/>
    <w:uiPriority w:val="99"/>
    <w:rPr>
      <w:sz w:val="18"/>
    </w:rPr>
  </w:style>
  <w:style w:type="character" w:customStyle="1" w:styleId="24">
    <w:name w:val="Footer Char"/>
    <w:basedOn w:val="18"/>
    <w:semiHidden/>
    <w:qFormat/>
    <w:uiPriority w:val="99"/>
    <w:rPr>
      <w:rFonts w:ascii="Times New Roman" w:hAnsi="Times New Roman"/>
      <w:sz w:val="18"/>
      <w:szCs w:val="18"/>
    </w:rPr>
  </w:style>
  <w:style w:type="character" w:customStyle="1" w:styleId="25">
    <w:name w:val="页脚 字符"/>
    <w:link w:val="10"/>
    <w:qFormat/>
    <w:locked/>
    <w:uiPriority w:val="99"/>
    <w:rPr>
      <w:sz w:val="18"/>
    </w:rPr>
  </w:style>
  <w:style w:type="character" w:customStyle="1" w:styleId="26">
    <w:name w:val="Body Text Char"/>
    <w:basedOn w:val="18"/>
    <w:semiHidden/>
    <w:qFormat/>
    <w:uiPriority w:val="99"/>
    <w:rPr>
      <w:rFonts w:ascii="Times New Roman" w:hAnsi="Times New Roman"/>
      <w:szCs w:val="24"/>
    </w:rPr>
  </w:style>
  <w:style w:type="character" w:customStyle="1" w:styleId="27">
    <w:name w:val="正文文本 字符"/>
    <w:link w:val="6"/>
    <w:qFormat/>
    <w:locked/>
    <w:uiPriority w:val="99"/>
    <w:rPr>
      <w:rFonts w:ascii="仿宋_GB2312" w:hAnsi="Times New Roman" w:eastAsia="仿宋_GB2312"/>
      <w:sz w:val="24"/>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9">
    <w:name w:val="List Paragraph"/>
    <w:basedOn w:val="1"/>
    <w:qFormat/>
    <w:uiPriority w:val="34"/>
    <w:pPr>
      <w:ind w:firstLine="420" w:firstLineChars="200"/>
    </w:pPr>
  </w:style>
  <w:style w:type="character" w:customStyle="1" w:styleId="30">
    <w:name w:val="标题 1 字符"/>
    <w:basedOn w:val="18"/>
    <w:link w:val="3"/>
    <w:qFormat/>
    <w:uiPriority w:val="9"/>
    <w:rPr>
      <w:rFonts w:ascii="Times New Roman" w:hAnsi="Times New Roman"/>
      <w:b/>
      <w:bCs/>
      <w:kern w:val="44"/>
      <w:sz w:val="44"/>
      <w:szCs w:val="44"/>
    </w:rPr>
  </w:style>
  <w:style w:type="character" w:customStyle="1" w:styleId="31">
    <w:name w:val="标题 2 字符"/>
    <w:basedOn w:val="18"/>
    <w:link w:val="4"/>
    <w:qFormat/>
    <w:uiPriority w:val="9"/>
    <w:rPr>
      <w:rFonts w:asciiTheme="majorHAnsi" w:hAnsiTheme="majorHAnsi" w:eastAsiaTheme="majorEastAsia" w:cstheme="majorBidi"/>
      <w:b/>
      <w:bCs/>
      <w:kern w:val="2"/>
      <w:sz w:val="32"/>
      <w:szCs w:val="32"/>
    </w:rPr>
  </w:style>
  <w:style w:type="paragraph" w:customStyle="1" w:styleId="32">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字符"/>
    <w:basedOn w:val="18"/>
    <w:link w:val="9"/>
    <w:semiHidden/>
    <w:qFormat/>
    <w:uiPriority w:val="99"/>
    <w:rPr>
      <w:rFonts w:ascii="Times New Roman" w:hAnsi="Times New Roman"/>
      <w:kern w:val="2"/>
      <w:sz w:val="18"/>
      <w:szCs w:val="18"/>
    </w:rPr>
  </w:style>
  <w:style w:type="character" w:customStyle="1" w:styleId="34">
    <w:name w:val="标题 3 字符"/>
    <w:basedOn w:val="18"/>
    <w:link w:val="5"/>
    <w:qFormat/>
    <w:uiPriority w:val="9"/>
    <w:rPr>
      <w:rFonts w:ascii="Times New Roman" w:hAnsi="Times New Roman"/>
      <w:b/>
      <w:bCs/>
      <w:kern w:val="2"/>
      <w:sz w:val="32"/>
      <w:szCs w:val="32"/>
    </w:rPr>
  </w:style>
  <w:style w:type="paragraph" w:customStyle="1" w:styleId="35">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6">
    <w:name w:val="WPSOffice手动目录 1"/>
    <w:qFormat/>
    <w:uiPriority w:val="0"/>
    <w:pPr>
      <w:ind w:leftChars="0"/>
    </w:pPr>
    <w:rPr>
      <w:rFonts w:asciiTheme="minorHAnsi" w:hAnsiTheme="minorHAnsi" w:eastAsiaTheme="minorEastAsia" w:cstheme="minorBidi"/>
      <w:sz w:val="20"/>
      <w:szCs w:val="20"/>
    </w:rPr>
  </w:style>
  <w:style w:type="paragraph" w:customStyle="1" w:styleId="37">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g&#30424;&#25991;&#20214;\&#20915;&#31639;&#24037;&#20855;&#34920;&#20108;&#22823;.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E:\g&#30424;&#25991;&#20214;\&#20915;&#31639;&#24037;&#20855;&#34920;&#20108;&#228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g&#30424;&#25991;&#20214;\&#20915;&#31639;&#24037;&#20855;&#34920;&#20108;&#22823;.xlsx"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2.xml"/><Relationship Id="rId1" Type="http://schemas.openxmlformats.org/officeDocument/2006/relationships/oleObject" Target="file:///E:\g&#30424;&#25991;&#20214;\&#20915;&#31639;&#24037;&#20855;&#34920;&#20108;&#22823;.xlsx"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E:\g&#30424;&#25991;&#20214;\&#20915;&#31639;&#24037;&#20855;&#34920;&#20108;&#22823;.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g&#30424;&#25991;&#20214;\&#20915;&#31639;&#24037;&#20855;&#34920;&#20108;&#2282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g&#30424;&#25991;&#20214;\&#20915;&#31639;&#24037;&#20855;&#34920;&#20108;&#228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射洪市瞿河学校收、支决算总计变动情况图</a:t>
            </a:r>
          </a:p>
        </c:rich>
      </c:tx>
      <c:layout/>
      <c:overlay val="0"/>
      <c:spPr>
        <a:noFill/>
        <a:ln>
          <a:noFill/>
        </a:ln>
        <a:effectLst/>
      </c:spPr>
    </c:title>
    <c:autoTitleDeleted val="0"/>
    <c:plotArea>
      <c:layout>
        <c:manualLayout>
          <c:layoutTarget val="inner"/>
          <c:xMode val="edge"/>
          <c:yMode val="edge"/>
          <c:x val="0.0981691834825609"/>
          <c:y val="0.268844781445138"/>
          <c:w val="0.847975410931445"/>
          <c:h val="0.609924174843889"/>
        </c:manualLayout>
      </c:layout>
      <c:barChart>
        <c:barDir val="col"/>
        <c:grouping val="clustered"/>
        <c:varyColors val="0"/>
        <c:ser>
          <c:idx val="0"/>
          <c:order val="0"/>
          <c:spPr>
            <a:gradFill>
              <a:gsLst>
                <a:gs pos="0">
                  <a:srgbClr val="EE5596"/>
                </a:gs>
                <a:gs pos="100000">
                  <a:srgbClr val="F9B621"/>
                </a:gs>
              </a:gsLst>
              <a:lin ang="5400000"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[决算工具表二大.xlsx]瞿河!$B$64:$C$64</c:f>
              <c:strCache>
                <c:ptCount val="2"/>
                <c:pt idx="0">
                  <c:v>2022收、支</c:v>
                </c:pt>
                <c:pt idx="1">
                  <c:v>2023收、支</c:v>
                </c:pt>
              </c:strCache>
            </c:strRef>
          </c:cat>
          <c:val>
            <c:numRef>
              <c:f>[决算工具表二大.xlsx]瞿河!$B$65:$C$65</c:f>
              <c:numCache>
                <c:formatCode>#,##0.00</c:formatCode>
                <c:ptCount val="2"/>
                <c:pt idx="0">
                  <c:v>1030.22</c:v>
                </c:pt>
                <c:pt idx="1">
                  <c:v>1127.29</c:v>
                </c:pt>
              </c:numCache>
            </c:numRef>
          </c:val>
        </c:ser>
        <c:ser>
          <c:idx val="1"/>
          <c:order val="1"/>
          <c:spPr>
            <a:gradFill>
              <a:gsLst>
                <a:gs pos="0">
                  <a:srgbClr val="6E6FFA"/>
                </a:gs>
                <a:gs pos="100000">
                  <a:srgbClr val="07E3EE"/>
                </a:gs>
              </a:gsLst>
              <a:lin ang="5400000"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[决算工具表二大.xlsx]瞿河!$B$64:$C$64</c:f>
              <c:strCache>
                <c:ptCount val="2"/>
                <c:pt idx="0">
                  <c:v>2022收、支</c:v>
                </c:pt>
                <c:pt idx="1">
                  <c:v>2023收、支</c:v>
                </c:pt>
              </c:strCache>
            </c:strRef>
          </c:cat>
          <c:val>
            <c:numRef>
              <c:f>[决算工具表二大.xlsx]瞿河!$B$66:$C$66</c:f>
              <c:numCache>
                <c:formatCode>#,##0.00</c:formatCode>
                <c:ptCount val="2"/>
                <c:pt idx="0">
                  <c:v>1030.22</c:v>
                </c:pt>
                <c:pt idx="1">
                  <c:v>1127.29</c:v>
                </c:pt>
              </c:numCache>
            </c:numRef>
          </c:val>
        </c:ser>
        <c:dLbls>
          <c:showLegendKey val="0"/>
          <c:showVal val="0"/>
          <c:showCatName val="0"/>
          <c:showSerName val="0"/>
          <c:showPercent val="0"/>
          <c:showBubbleSize val="0"/>
        </c:dLbls>
        <c:gapWidth val="219"/>
        <c:overlap val="-27"/>
        <c:axId val="414555580"/>
        <c:axId val="627808272"/>
      </c:barChart>
      <c:catAx>
        <c:axId val="4145555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627808272"/>
        <c:crosses val="autoZero"/>
        <c:auto val="1"/>
        <c:lblAlgn val="ctr"/>
        <c:lblOffset val="100"/>
        <c:noMultiLvlLbl val="0"/>
      </c:catAx>
      <c:valAx>
        <c:axId val="627808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414555580"/>
        <c:crosses val="autoZero"/>
        <c:crossBetween val="between"/>
      </c:valAx>
      <c:spPr>
        <a:noFill/>
        <a:ln>
          <a:solidFill>
            <a:schemeClr val="bg1">
              <a:lumMod val="8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射洪市瞿河学校收入决算结构图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Lbls>
            <c:dLbl>
              <c:idx val="0"/>
              <c:layout>
                <c:manualLayout>
                  <c:x val="-0.0363942712721146"/>
                  <c:y val="-0.01308044473512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[决算工具表二大.xlsx]瞿河!$A$85</c:f>
              <c:strCache>
                <c:ptCount val="1"/>
                <c:pt idx="0">
                  <c:v>一般公共预算财政拨款收入</c:v>
                </c:pt>
              </c:strCache>
            </c:strRef>
          </c:cat>
          <c:val>
            <c:numRef>
              <c:f>[决算工具表二大.xlsx]瞿河!$B$85</c:f>
              <c:numCache>
                <c:formatCode>General</c:formatCode>
                <c:ptCount val="1"/>
                <c:pt idx="0">
                  <c:v>1127.29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射洪市瞿河学校支出决算结构图</a:t>
            </a:r>
          </a:p>
        </c:rich>
      </c:tx>
      <c:layout/>
      <c:overlay val="0"/>
      <c:spPr>
        <a:noFill/>
        <a:ln>
          <a:noFill/>
        </a:ln>
        <a:effectLst/>
      </c:spPr>
    </c:title>
    <c:autoTitleDeleted val="0"/>
    <c:view3D>
      <c:rotX val="50"/>
      <c:rotY val="0"/>
      <c:depthPercent val="170"/>
      <c:rAngAx val="0"/>
    </c:view3D>
    <c:floor>
      <c:thickness val="0"/>
    </c:floor>
    <c:sideWall>
      <c:thickness val="0"/>
    </c:sideWall>
    <c:backWall>
      <c:thickness val="0"/>
    </c:backWall>
    <c:plotArea>
      <c:layout/>
      <c:pie3DChart>
        <c:varyColors val="1"/>
        <c:ser>
          <c:idx val="0"/>
          <c:order val="0"/>
          <c:explosion val="0"/>
          <c:dPt>
            <c:idx val="0"/>
            <c:bubble3D val="0"/>
          </c:dPt>
          <c:dPt>
            <c:idx val="1"/>
            <c:bubble3D val="0"/>
          </c:dPt>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基本支出99</a:t>
                    </a:r>
                    <a:r>
                      <a:rPr lang="en-US" altLang="zh-CN"/>
                      <a:t>.4</a:t>
                    </a:r>
                    <a:r>
                      <a:t>%</a:t>
                    </a:r>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项目支出</a:t>
                    </a:r>
                  </a:p>
                  <a:p>
                    <a:pPr defTabSz="914400">
                      <a:defRPr lang="zh-CN" sz="1000" b="0" i="0" u="none" strike="noStrike" kern="1200" baseline="0">
                        <a:solidFill>
                          <a:schemeClr val="tx1"/>
                        </a:solidFill>
                        <a:latin typeface="+mn-lt"/>
                        <a:ea typeface="+mn-ea"/>
                        <a:cs typeface="+mn-cs"/>
                      </a:defRPr>
                    </a:pPr>
                    <a:r>
                      <a:rPr lang="en-US" altLang="zh-CN"/>
                      <a:t>0.6</a:t>
                    </a:r>
                    <a:r>
                      <a:t>%</a:t>
                    </a:r>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[决算工具表二大.xlsx]瞿河!$B$282:$B$283</c:f>
              <c:strCache>
                <c:ptCount val="2"/>
                <c:pt idx="0">
                  <c:v>基本支出</c:v>
                </c:pt>
                <c:pt idx="1">
                  <c:v>项目支出</c:v>
                </c:pt>
              </c:strCache>
            </c:strRef>
          </c:cat>
          <c:val>
            <c:numRef>
              <c:f>[决算工具表二大.xlsx]瞿河!$C$282:$C$283</c:f>
              <c:numCache>
                <c:formatCode>General</c:formatCode>
                <c:ptCount val="2"/>
                <c:pt idx="0">
                  <c:v>1120.07</c:v>
                </c:pt>
                <c:pt idx="1">
                  <c:v>7.21</c:v>
                </c:pt>
              </c:numCache>
            </c:numRef>
          </c:val>
        </c:ser>
        <c:dLbls>
          <c:showLegendKey val="0"/>
          <c:showVal val="0"/>
          <c:showCatName val="0"/>
          <c:showSerName val="0"/>
          <c:showPercent val="1"/>
          <c:showBubbleSize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tx1"/>
                </a:solidFill>
                <a:latin typeface="+mn-lt"/>
                <a:ea typeface="+mn-ea"/>
                <a:cs typeface="+mn-cs"/>
              </a:defRPr>
            </a:pPr>
            <a:r>
              <a:t>射洪市瞿河学校财政拨款收、支决算总计变动情况</a:t>
            </a:r>
          </a:p>
        </c:rich>
      </c:tx>
      <c:layout/>
      <c:overlay val="0"/>
      <c:spPr>
        <a:noFill/>
        <a:ln>
          <a:noFill/>
        </a:ln>
        <a:effectLst/>
      </c:spPr>
    </c:title>
    <c:autoTitleDeleted val="0"/>
    <c:plotArea>
      <c:layout/>
      <c:barChart>
        <c:barDir val="col"/>
        <c:grouping val="clustered"/>
        <c:varyColors val="0"/>
        <c:ser>
          <c:idx val="0"/>
          <c:order val="0"/>
          <c:spPr>
            <a:gradFill>
              <a:gsLst>
                <a:gs pos="30000">
                  <a:schemeClr val="accent1">
                    <a:lumMod val="60000"/>
                    <a:lumOff val="40000"/>
                  </a:schemeClr>
                </a:gs>
                <a:gs pos="95000">
                  <a:schemeClr val="accent1"/>
                </a:gs>
              </a:gsLst>
              <a:lin ang="16200000" scaled="0"/>
            </a:gradFill>
            <a:ln w="9525">
              <a:noFill/>
            </a:ln>
            <a:effectLst>
              <a:outerShdw blurRad="50800" dist="12700" dir="2700000" algn="tl" rotWithShape="0">
                <a:schemeClr val="accent1">
                  <a:lumMod val="50000"/>
                  <a:alpha val="65000"/>
                </a:schemeClr>
              </a:outerShdw>
            </a:effectLst>
            <a:sp3d contourW="9525"/>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[决算工具表二大.xlsx]瞿河!$B$70:$C$70</c:f>
              <c:strCache>
                <c:ptCount val="2"/>
                <c:pt idx="0">
                  <c:v>2022收、支</c:v>
                </c:pt>
                <c:pt idx="1">
                  <c:v>2023收、支</c:v>
                </c:pt>
              </c:strCache>
            </c:strRef>
          </c:cat>
          <c:val>
            <c:numRef>
              <c:f>[决算工具表二大.xlsx]瞿河!$B$71:$C$71</c:f>
              <c:numCache>
                <c:formatCode>#,##0.00</c:formatCode>
                <c:ptCount val="2"/>
                <c:pt idx="0">
                  <c:v>1030.22</c:v>
                </c:pt>
                <c:pt idx="1">
                  <c:v>1127.29</c:v>
                </c:pt>
              </c:numCache>
            </c:numRef>
          </c:val>
        </c:ser>
        <c:ser>
          <c:idx val="1"/>
          <c:order val="1"/>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[决算工具表二大.xlsx]瞿河!$B$70:$C$70</c:f>
              <c:strCache>
                <c:ptCount val="2"/>
                <c:pt idx="0">
                  <c:v>2022收、支</c:v>
                </c:pt>
                <c:pt idx="1">
                  <c:v>2023收、支</c:v>
                </c:pt>
              </c:strCache>
            </c:strRef>
          </c:cat>
          <c:val>
            <c:numRef>
              <c:f>[决算工具表二大.xlsx]瞿河!$B$72:$C$72</c:f>
              <c:numCache>
                <c:formatCode>#,##0.00</c:formatCode>
                <c:ptCount val="2"/>
                <c:pt idx="0">
                  <c:v>1030.22</c:v>
                </c:pt>
                <c:pt idx="1">
                  <c:v>1127.29</c:v>
                </c:pt>
              </c:numCache>
            </c:numRef>
          </c:val>
        </c:ser>
        <c:dLbls>
          <c:showLegendKey val="0"/>
          <c:showVal val="1"/>
          <c:showCatName val="0"/>
          <c:showSerName val="0"/>
          <c:showPercent val="0"/>
          <c:showBubbleSize val="0"/>
        </c:dLbls>
        <c:gapWidth val="150"/>
        <c:overlap val="-20"/>
        <c:axId val="414555580"/>
        <c:axId val="627808272"/>
      </c:barChart>
      <c:catAx>
        <c:axId val="4145555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627808272"/>
        <c:crosses val="autoZero"/>
        <c:auto val="1"/>
        <c:lblAlgn val="ctr"/>
        <c:lblOffset val="100"/>
        <c:noMultiLvlLbl val="0"/>
      </c:catAx>
      <c:valAx>
        <c:axId val="627808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4145555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tx1"/>
                </a:solidFill>
                <a:latin typeface="+mn-lt"/>
                <a:ea typeface="+mn-ea"/>
                <a:cs typeface="+mn-cs"/>
              </a:defRPr>
            </a:pPr>
            <a:r>
              <a:t>射洪市瞿河学校一般公共预算财政拨款支出决算变动情况</a:t>
            </a:r>
          </a:p>
        </c:rich>
      </c:tx>
      <c:layout/>
      <c:overlay val="0"/>
      <c:spPr>
        <a:noFill/>
        <a:ln>
          <a:noFill/>
        </a:ln>
        <a:effectLst/>
      </c:spPr>
    </c:title>
    <c:autoTitleDeleted val="0"/>
    <c:plotArea>
      <c:layout/>
      <c:barChart>
        <c:barDir val="col"/>
        <c:grouping val="clustered"/>
        <c:varyColors val="0"/>
        <c:ser>
          <c:idx val="0"/>
          <c:order val="0"/>
          <c:spPr>
            <a:gradFill>
              <a:gsLst>
                <a:gs pos="30000">
                  <a:schemeClr val="accent1">
                    <a:lumMod val="60000"/>
                    <a:lumOff val="40000"/>
                  </a:schemeClr>
                </a:gs>
                <a:gs pos="95000">
                  <a:schemeClr val="accent1"/>
                </a:gs>
              </a:gsLst>
              <a:lin ang="16200000" scaled="0"/>
            </a:gradFill>
            <a:ln w="9525">
              <a:noFill/>
            </a:ln>
            <a:effectLst>
              <a:outerShdw blurRad="50800" dist="12700" dir="2700000" algn="tl" rotWithShape="0">
                <a:schemeClr val="accent1">
                  <a:lumMod val="50000"/>
                  <a:alpha val="65000"/>
                </a:schemeClr>
              </a:outerShdw>
            </a:effectLst>
            <a:sp3d contourW="9525"/>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[决算工具表二大.xlsx]瞿河!$B$70:$C$70</c:f>
              <c:strCache>
                <c:ptCount val="2"/>
                <c:pt idx="0">
                  <c:v>2022收、支</c:v>
                </c:pt>
                <c:pt idx="1">
                  <c:v>2023收、支</c:v>
                </c:pt>
              </c:strCache>
            </c:strRef>
          </c:cat>
          <c:val>
            <c:numRef>
              <c:f>[决算工具表二大.xlsx]瞿河!$B$71:$C$71</c:f>
              <c:numCache>
                <c:formatCode>#,##0.00</c:formatCode>
                <c:ptCount val="2"/>
                <c:pt idx="0">
                  <c:v>1030.22</c:v>
                </c:pt>
                <c:pt idx="1">
                  <c:v>1127.29</c:v>
                </c:pt>
              </c:numCache>
            </c:numRef>
          </c:val>
        </c:ser>
        <c:ser>
          <c:idx val="1"/>
          <c:order val="1"/>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[决算工具表二大.xlsx]瞿河!$B$70:$C$70</c:f>
              <c:strCache>
                <c:ptCount val="2"/>
                <c:pt idx="0">
                  <c:v>2022收、支</c:v>
                </c:pt>
                <c:pt idx="1">
                  <c:v>2023收、支</c:v>
                </c:pt>
              </c:strCache>
            </c:strRef>
          </c:cat>
          <c:val>
            <c:numRef>
              <c:f>[决算工具表二大.xlsx]瞿河!$B$72:$C$72</c:f>
              <c:numCache>
                <c:formatCode>#,##0.00</c:formatCode>
                <c:ptCount val="2"/>
                <c:pt idx="0">
                  <c:v>1030.22</c:v>
                </c:pt>
                <c:pt idx="1">
                  <c:v>1127.29</c:v>
                </c:pt>
              </c:numCache>
            </c:numRef>
          </c:val>
        </c:ser>
        <c:dLbls>
          <c:showLegendKey val="0"/>
          <c:showVal val="1"/>
          <c:showCatName val="0"/>
          <c:showSerName val="0"/>
          <c:showPercent val="0"/>
          <c:showBubbleSize val="0"/>
        </c:dLbls>
        <c:gapWidth val="150"/>
        <c:overlap val="-20"/>
        <c:axId val="414555580"/>
        <c:axId val="627808272"/>
      </c:barChart>
      <c:catAx>
        <c:axId val="4145555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627808272"/>
        <c:crosses val="autoZero"/>
        <c:auto val="1"/>
        <c:lblAlgn val="ctr"/>
        <c:lblOffset val="100"/>
        <c:noMultiLvlLbl val="0"/>
      </c:catAx>
      <c:valAx>
        <c:axId val="627808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4145555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射洪市瞿河学校一般公共预算财政拨款支出决算结构</a:t>
            </a:r>
          </a:p>
        </c:rich>
      </c:tx>
      <c:layout>
        <c:manualLayout>
          <c:xMode val="edge"/>
          <c:yMode val="edge"/>
          <c:x val="0.12477645911234"/>
          <c:y val="0.02727477462107"/>
        </c:manualLayout>
      </c:layout>
      <c:overlay val="0"/>
      <c:spPr>
        <a:noFill/>
        <a:ln>
          <a:noFill/>
        </a:ln>
        <a:effectLst/>
      </c:spPr>
    </c:title>
    <c:autoTitleDeleted val="0"/>
    <c:plotArea>
      <c:layout>
        <c:manualLayout>
          <c:layoutTarget val="inner"/>
          <c:xMode val="edge"/>
          <c:yMode val="edge"/>
          <c:x val="0.249725247927166"/>
          <c:y val="0.272824112303881"/>
          <c:w val="0.504451308730288"/>
          <c:h val="0.64056151940545"/>
        </c:manualLayout>
      </c:layout>
      <c:pieChart>
        <c:varyColors val="1"/>
        <c:ser>
          <c:idx val="0"/>
          <c:order val="0"/>
          <c:spPr/>
          <c:explosion val="3"/>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c:spPr>
          </c:dPt>
          <c:dPt>
            <c:idx val="3"/>
            <c:bubble3D val="0"/>
            <c:spPr>
              <a:gradFill>
                <a:gsLst>
                  <a:gs pos="0">
                    <a:schemeClr val="accent4">
                      <a:lumMod val="40000"/>
                      <a:lumOff val="60000"/>
                    </a:schemeClr>
                  </a:gs>
                  <a:gs pos="90000">
                    <a:schemeClr val="accent4"/>
                  </a:gs>
                </a:gsLst>
                <a:lin ang="5400000" scaled="0"/>
              </a:gradFill>
              <a:ln>
                <a:gradFill>
                  <a:gsLst>
                    <a:gs pos="0">
                      <a:schemeClr val="accent4"/>
                    </a:gs>
                    <a:gs pos="100000">
                      <a:schemeClr val="accent4">
                        <a:lumMod val="75000"/>
                      </a:schemeClr>
                    </a:gs>
                  </a:gsLst>
                  <a:lin ang="5400000" scaled="1"/>
                </a:gradFill>
              </a:ln>
              <a:effectLst/>
            </c:spPr>
          </c:dPt>
          <c:dPt>
            <c:idx val="4"/>
            <c:bubble3D val="0"/>
            <c:spPr>
              <a:gradFill>
                <a:gsLst>
                  <a:gs pos="0">
                    <a:schemeClr val="accent5">
                      <a:lumMod val="40000"/>
                      <a:lumOff val="60000"/>
                    </a:schemeClr>
                  </a:gs>
                  <a:gs pos="90000">
                    <a:schemeClr val="accent5"/>
                  </a:gs>
                </a:gsLst>
                <a:lin ang="5400000" scaled="0"/>
              </a:gradFill>
              <a:ln>
                <a:gradFill>
                  <a:gsLst>
                    <a:gs pos="0">
                      <a:schemeClr val="accent5"/>
                    </a:gs>
                    <a:gs pos="100000">
                      <a:schemeClr val="accent5">
                        <a:lumMod val="75000"/>
                      </a:schemeClr>
                    </a:gs>
                  </a:gsLst>
                  <a:lin ang="5400000" scaled="1"/>
                </a:gradFill>
              </a:ln>
              <a:effectLst/>
            </c:spPr>
          </c:dPt>
          <c:dLbls>
            <c:dLbl>
              <c:idx val="0"/>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olidFill>
                        <a:latin typeface="+mn-lt"/>
                        <a:ea typeface="+mn-ea"/>
                        <a:cs typeface="+mn-cs"/>
                      </a:defRPr>
                    </a:pPr>
                    <a:r>
                      <a:t>教育支出75</a:t>
                    </a:r>
                    <a:r>
                      <a:rPr lang="en-US" altLang="zh-CN"/>
                      <a:t>.2</a:t>
                    </a:r>
                    <a:r>
                      <a:t>%</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1"/>
              <c:showVal val="0"/>
              <c:showCatName val="1"/>
              <c:showSerName val="0"/>
              <c:showPercent val="1"/>
              <c:showBubbleSize val="0"/>
              <c:separator>
</c:separator>
              <c:extLst>
                <c:ext xmlns:c15="http://schemas.microsoft.com/office/drawing/2012/chart" uri="{CE6537A1-D6FC-4f65-9D91-7224C49458BB}"/>
              </c:extLst>
            </c:dLbl>
            <c:dLbl>
              <c:idx val="1"/>
              <c:layout>
                <c:manualLayout>
                  <c:x val="-0.0760851894000975"/>
                  <c:y val="0.121487603305785"/>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2"/>
                        </a:solidFill>
                        <a:latin typeface="+mn-lt"/>
                        <a:ea typeface="+mn-ea"/>
                        <a:cs typeface="+mn-cs"/>
                      </a:defRPr>
                    </a:pPr>
                    <a:r>
                      <a:t>社会保障和就业支出13</a:t>
                    </a:r>
                    <a:r>
                      <a:rPr lang="en-US" altLang="zh-CN"/>
                      <a:t>.6</a:t>
                    </a:r>
                    <a:r>
                      <a:t>%</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46317671923265"/>
                  <c:y val="0.0471074380165289"/>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3"/>
                        </a:solidFill>
                        <a:latin typeface="+mn-lt"/>
                        <a:ea typeface="+mn-ea"/>
                        <a:cs typeface="+mn-cs"/>
                      </a:defRPr>
                    </a:pPr>
                    <a:r>
                      <a:t>卫生健康支出</a:t>
                    </a:r>
                  </a:p>
                  <a:p>
                    <a:pPr defTabSz="914400">
                      <a:defRPr lang="zh-CN" sz="1000" b="1" i="0" u="none" strike="noStrike" kern="1200" spc="0" baseline="0">
                        <a:solidFill>
                          <a:schemeClr val="accent3"/>
                        </a:solidFill>
                        <a:latin typeface="+mn-lt"/>
                        <a:ea typeface="+mn-ea"/>
                        <a:cs typeface="+mn-cs"/>
                      </a:defRPr>
                    </a:pPr>
                    <a:r>
                      <a:rPr lang="en-US" altLang="zh-CN"/>
                      <a:t>3.6</a:t>
                    </a:r>
                    <a:r>
                      <a:t>%</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0195090229231019"/>
                  <c:y val="-0.00247933884297521"/>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4"/>
                        </a:solidFill>
                        <a:latin typeface="+mn-lt"/>
                        <a:ea typeface="+mn-ea"/>
                        <a:cs typeface="+mn-cs"/>
                      </a:defRPr>
                    </a:pPr>
                    <a:r>
                      <a:t>农林水支出</a:t>
                    </a:r>
                  </a:p>
                  <a:p>
                    <a:pPr defTabSz="914400">
                      <a:defRPr lang="zh-CN" sz="1000" b="1" i="0" u="none" strike="noStrike" kern="1200" spc="0" baseline="0">
                        <a:solidFill>
                          <a:schemeClr val="accent4"/>
                        </a:solidFill>
                        <a:latin typeface="+mn-lt"/>
                        <a:ea typeface="+mn-ea"/>
                        <a:cs typeface="+mn-cs"/>
                      </a:defRPr>
                    </a:pPr>
                    <a:r>
                      <a:rPr lang="en-US" altLang="zh-CN"/>
                      <a:t>0.6</a:t>
                    </a:r>
                    <a:r>
                      <a:t>%</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45813688831085"/>
                  <c:y val="0.0817915662897271"/>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5"/>
                        </a:solidFill>
                        <a:latin typeface="+mn-lt"/>
                        <a:ea typeface="+mn-ea"/>
                        <a:cs typeface="+mn-cs"/>
                      </a:defRPr>
                    </a:pPr>
                    <a:r>
                      <a:t>住房保障支出</a:t>
                    </a:r>
                  </a:p>
                  <a:p>
                    <a:pPr defTabSz="914400">
                      <a:defRPr lang="zh-CN" sz="1000" b="1" i="0" u="none" strike="noStrike" kern="1200" spc="0" baseline="0">
                        <a:solidFill>
                          <a:schemeClr val="accent5"/>
                        </a:solidFill>
                        <a:latin typeface="+mn-lt"/>
                        <a:ea typeface="+mn-ea"/>
                        <a:cs typeface="+mn-cs"/>
                      </a:defRPr>
                    </a:pPr>
                    <a:r>
                      <a:rPr lang="en-US" altLang="zh-CN"/>
                      <a:t>7</a:t>
                    </a:r>
                    <a:r>
                      <a:t>%</a:t>
                    </a: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[决算工具表二大.xlsx]瞿河!$A$104:$A$108</c:f>
              <c:strCache>
                <c:ptCount val="5"/>
                <c:pt idx="0">
                  <c:v>教育支出</c:v>
                </c:pt>
                <c:pt idx="1">
                  <c:v>社会保障和就业支出</c:v>
                </c:pt>
                <c:pt idx="2">
                  <c:v>卫生健康支出</c:v>
                </c:pt>
                <c:pt idx="3">
                  <c:v>农林水支出</c:v>
                </c:pt>
                <c:pt idx="4">
                  <c:v>住房保障支出</c:v>
                </c:pt>
              </c:strCache>
            </c:strRef>
          </c:cat>
          <c:val>
            <c:numRef>
              <c:f>[决算工具表二大.xlsx]瞿河!$B$104:$B$108</c:f>
              <c:numCache>
                <c:formatCode>#,##0.00</c:formatCode>
                <c:ptCount val="5"/>
                <c:pt idx="0">
                  <c:v>847.84</c:v>
                </c:pt>
                <c:pt idx="1">
                  <c:v>152.9</c:v>
                </c:pt>
                <c:pt idx="2">
                  <c:v>41.05</c:v>
                </c:pt>
                <c:pt idx="3">
                  <c:v>7.21</c:v>
                </c:pt>
                <c:pt idx="4">
                  <c:v>78.29</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射洪市瞿河学校“三公”经费支出占比分析</a:t>
            </a:r>
          </a:p>
        </c:rich>
      </c:tx>
      <c:layout>
        <c:manualLayout>
          <c:xMode val="edge"/>
          <c:yMode val="edge"/>
          <c:x val="0.0911282545805207"/>
          <c:y val="0.0247196154726482"/>
        </c:manualLayout>
      </c:layout>
      <c:overlay val="0"/>
      <c:spPr>
        <a:noFill/>
        <a:ln>
          <a:noFill/>
        </a:ln>
        <a:effectLst/>
      </c:spPr>
    </c:title>
    <c:autoTitleDeleted val="0"/>
    <c:view3D>
      <c:rotX val="50"/>
      <c:rotY val="28"/>
      <c:depthPercent val="100"/>
      <c:rAngAx val="0"/>
    </c:view3D>
    <c:floor>
      <c:thickness val="0"/>
    </c:floor>
    <c:sideWall>
      <c:thickness val="0"/>
    </c:sideWall>
    <c:backWall>
      <c:thickness val="0"/>
    </c:backWall>
    <c:plotArea>
      <c:layout/>
      <c:pie3DChart>
        <c:varyColors val="1"/>
        <c:ser>
          <c:idx val="0"/>
          <c:order val="0"/>
          <c:spPr>
            <a:scene3d>
              <a:camera prst="orthographicFront"/>
              <a:lightRig rig="threePt" dir="t"/>
            </a:scene3d>
            <a:sp3d contourW="9525"/>
          </c:spPr>
          <c:explosion val="0"/>
          <c:dPt>
            <c:idx val="0"/>
            <c:bubble3D val="0"/>
            <c:spPr>
              <a:gradFill>
                <a:gsLst>
                  <a:gs pos="0">
                    <a:schemeClr val="accent1">
                      <a:shade val="76667"/>
                      <a:lumMod val="40000"/>
                      <a:lumOff val="60000"/>
                    </a:schemeClr>
                  </a:gs>
                  <a:gs pos="90000">
                    <a:schemeClr val="accent1">
                      <a:shade val="76667"/>
                    </a:schemeClr>
                  </a:gs>
                </a:gsLst>
                <a:lin ang="5400000" scaled="0"/>
              </a:gradFill>
              <a:ln>
                <a:gradFill>
                  <a:gsLst>
                    <a:gs pos="0">
                      <a:schemeClr val="accent1">
                        <a:shade val="76667"/>
                      </a:schemeClr>
                    </a:gs>
                    <a:gs pos="100000">
                      <a:schemeClr val="accent1">
                        <a:shade val="76667"/>
                        <a:lumMod val="75000"/>
                      </a:schemeClr>
                    </a:gs>
                  </a:gsLst>
                  <a:lin ang="5400000" scaled="1"/>
                </a:gradFill>
              </a:ln>
              <a:effectLst/>
            </c:spPr>
          </c:dPt>
          <c:dPt>
            <c:idx val="1"/>
            <c:bubble3D val="0"/>
            <c:spPr>
              <a:gradFill>
                <a:gsLst>
                  <a:gs pos="0">
                    <a:schemeClr val="accent2">
                      <a:shade val="76667"/>
                      <a:lumMod val="40000"/>
                      <a:lumOff val="60000"/>
                    </a:schemeClr>
                  </a:gs>
                  <a:gs pos="90000">
                    <a:schemeClr val="accent2">
                      <a:shade val="76667"/>
                    </a:schemeClr>
                  </a:gs>
                </a:gsLst>
                <a:lin ang="5400000" scaled="0"/>
              </a:gradFill>
              <a:ln>
                <a:gradFill>
                  <a:gsLst>
                    <a:gs pos="0">
                      <a:schemeClr val="accent2">
                        <a:shade val="76667"/>
                      </a:schemeClr>
                    </a:gs>
                    <a:gs pos="100000">
                      <a:schemeClr val="accent2">
                        <a:shade val="76667"/>
                        <a:lumMod val="75000"/>
                      </a:schemeClr>
                    </a:gs>
                  </a:gsLst>
                  <a:lin ang="5400000" scaled="1"/>
                </a:gradFill>
              </a:ln>
              <a:effectLst/>
            </c:spPr>
          </c:dPt>
          <c:dPt>
            <c:idx val="2"/>
            <c:bubble3D val="0"/>
            <c:spPr>
              <a:gradFill>
                <a:gsLst>
                  <a:gs pos="0">
                    <a:schemeClr val="accent3">
                      <a:shade val="76667"/>
                      <a:lumMod val="40000"/>
                      <a:lumOff val="60000"/>
                    </a:schemeClr>
                  </a:gs>
                  <a:gs pos="90000">
                    <a:schemeClr val="accent3">
                      <a:shade val="76667"/>
                    </a:schemeClr>
                  </a:gs>
                </a:gsLst>
                <a:lin ang="5400000" scaled="0"/>
              </a:gradFill>
              <a:ln>
                <a:gradFill>
                  <a:gsLst>
                    <a:gs pos="0">
                      <a:schemeClr val="accent3">
                        <a:shade val="76667"/>
                      </a:schemeClr>
                    </a:gs>
                    <a:gs pos="100000">
                      <a:schemeClr val="accent3">
                        <a:shade val="76667"/>
                        <a:lumMod val="75000"/>
                      </a:schemeClr>
                    </a:gs>
                  </a:gsLst>
                  <a:lin ang="5400000" scaled="1"/>
                </a:gradFill>
              </a:ln>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accent1">
                          <a:shade val="76667"/>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0964320154291225"/>
                  <c:y val="-0.00549324788281071"/>
                </c:manualLayout>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accent2">
                          <a:shade val="76667"/>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38862102217936"/>
                  <c:y val="0.167544060425727"/>
                </c:manualLayout>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accent3">
                          <a:shade val="76667"/>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spc="0" baseline="0">
                    <a:solidFill>
                      <a:schemeClr val="accent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[决算工具表二大.xlsx]瞿河!$A$170:$A$172</c:f>
              <c:strCache>
                <c:ptCount val="3"/>
                <c:pt idx="0">
                  <c:v>公务接待费</c:v>
                </c:pt>
                <c:pt idx="1">
                  <c:v>公务用车购置及运行维护费</c:v>
                </c:pt>
                <c:pt idx="2">
                  <c:v>因公出国（境）费</c:v>
                </c:pt>
              </c:strCache>
            </c:strRef>
          </c:cat>
          <c:val>
            <c:numRef>
              <c:f>[决算工具表二大.xlsx]瞿河!$B$170:$B$172</c:f>
              <c:numCache>
                <c:formatCode>General</c:formatCode>
                <c:ptCount val="3"/>
                <c:pt idx="0">
                  <c:v>0.22</c:v>
                </c:pt>
                <c:pt idx="1">
                  <c:v>0</c:v>
                </c:pt>
                <c:pt idx="2">
                  <c:v>0</c:v>
                </c:pt>
              </c:numCache>
            </c:numRef>
          </c:val>
        </c:ser>
        <c:dLbls>
          <c:showLegendKey val="0"/>
          <c:showVal val="1"/>
          <c:showCatName val="0"/>
          <c:showSerName val="0"/>
          <c:showPercent val="0"/>
          <c:showBubbleSize val="0"/>
        </c:dLbls>
      </c:pie3DChart>
      <c:spPr>
        <a:noFill/>
        <a:ln>
          <a:noFill/>
        </a:ln>
        <a:effectLst/>
      </c:spPr>
    </c:plotArea>
    <c:plotVisOnly val="1"/>
    <c:dispBlanksAs val="gap"/>
    <c:showDLblsOverMax val="0"/>
  </c:chart>
  <c:spPr>
    <a:solidFill>
      <a:schemeClr val="bg1"/>
    </a:solidFill>
    <a:ln w="6350" cap="flat" cmpd="sng" algn="ctr">
      <a:solidFill>
        <a:schemeClr val="tx1">
          <a:lumMod val="50000"/>
          <a:lumOff val="50000"/>
          <a:alpha val="25000"/>
        </a:schemeClr>
      </a:solidFill>
      <a:prstDash val="solid"/>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cs:fontRef>
    <cs:defRPr sz="1000" b="1" i="0" u="none" strike="noStrike" kern="1200" spc="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自定义 13">
    <a:dk1>
      <a:srgbClr val="000000"/>
    </a:dk1>
    <a:lt1>
      <a:srgbClr val="FFFFFF"/>
    </a:lt1>
    <a:dk2>
      <a:srgbClr val="DEF8FF"/>
    </a:dk2>
    <a:lt2>
      <a:srgbClr val="B9D2FD"/>
    </a:lt2>
    <a:accent1>
      <a:srgbClr val="33BAFF"/>
    </a:accent1>
    <a:accent2>
      <a:srgbClr val="FE8932"/>
    </a:accent2>
    <a:accent3>
      <a:srgbClr val="6C92FD"/>
    </a:accent3>
    <a:accent4>
      <a:srgbClr val="FB5F36"/>
    </a:accent4>
    <a:accent5>
      <a:srgbClr val="875AFA"/>
    </a:accent5>
    <a:accent6>
      <a:srgbClr val="1580F9"/>
    </a:accent6>
    <a:hlink>
      <a:srgbClr val="141E26"/>
    </a:hlink>
    <a:folHlink>
      <a:srgbClr val="4C579B"/>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自定义 13">
    <a:dk1>
      <a:srgbClr val="000000"/>
    </a:dk1>
    <a:lt1>
      <a:srgbClr val="FFFFFF"/>
    </a:lt1>
    <a:dk2>
      <a:srgbClr val="DEF8FF"/>
    </a:dk2>
    <a:lt2>
      <a:srgbClr val="B9D2FD"/>
    </a:lt2>
    <a:accent1>
      <a:srgbClr val="33BAFF"/>
    </a:accent1>
    <a:accent2>
      <a:srgbClr val="FE8932"/>
    </a:accent2>
    <a:accent3>
      <a:srgbClr val="6C92FD"/>
    </a:accent3>
    <a:accent4>
      <a:srgbClr val="FB5F36"/>
    </a:accent4>
    <a:accent5>
      <a:srgbClr val="875AFA"/>
    </a:accent5>
    <a:accent6>
      <a:srgbClr val="1580F9"/>
    </a:accent6>
    <a:hlink>
      <a:srgbClr val="141E26"/>
    </a:hlink>
    <a:folHlink>
      <a:srgbClr val="4C579B"/>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Company>四川省财政厅</Company>
  <Pages>36</Pages>
  <Words>14498</Words>
  <Characters>16754</Characters>
  <Lines>42</Lines>
  <Paragraphs>11</Paragraphs>
  <TotalTime>11</TotalTime>
  <ScaleCrop>false</ScaleCrop>
  <LinksUpToDate>false</LinksUpToDate>
  <CharactersWithSpaces>16894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2024-09-04T08:08:00Z</dcterms:created>
  <dc:creator>曹颖</dc:creator>
  <cp:lastModifiedBy>射洪市市教育体育局</cp:lastModifiedBy>
  <cp:lastPrinted>2024-09-04T11:04:00Z</cp:lastPrinted>
  <dcterms:modified xsi:type="dcterms:W3CDTF">2024-09-30T07:21:56Z</dcterms:modified>
  <dc:title>四川省***</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A66662BB3A904957B70DF47CBB61BAD8_12</vt:lpwstr>
  </property>
</Properties>
</file>