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37D0">
      <w:pPr>
        <w:spacing w:line="600" w:lineRule="exact"/>
        <w:jc w:val="left"/>
        <w:outlineLvl w:val="0"/>
        <w:rPr>
          <w:rFonts w:hint="eastAsia" w:ascii="方正小标宋简体" w:hAnsi="宋体" w:eastAsia="方正小标宋简体"/>
          <w:szCs w:val="21"/>
        </w:rPr>
      </w:pPr>
      <w:bookmarkStart w:id="0" w:name="_Toc15306267"/>
    </w:p>
    <w:p w14:paraId="5DFA183A">
      <w:pPr>
        <w:pStyle w:val="6"/>
        <w:spacing w:before="93"/>
      </w:pPr>
    </w:p>
    <w:p w14:paraId="5E8057F6">
      <w:pPr>
        <w:spacing w:line="600" w:lineRule="exact"/>
        <w:jc w:val="center"/>
        <w:outlineLvl w:val="0"/>
        <w:rPr>
          <w:rFonts w:hint="eastAsia" w:ascii="方正小标宋简体" w:hAnsi="宋体" w:eastAsia="方正小标宋简体"/>
          <w:sz w:val="72"/>
          <w:szCs w:val="72"/>
        </w:rPr>
      </w:pPr>
    </w:p>
    <w:p w14:paraId="7CBB71F9">
      <w:pPr>
        <w:spacing w:line="600" w:lineRule="exact"/>
        <w:jc w:val="center"/>
        <w:outlineLvl w:val="0"/>
        <w:rPr>
          <w:rFonts w:hint="eastAsia" w:ascii="方正小标宋简体" w:hAnsi="宋体" w:eastAsia="方正小标宋简体"/>
          <w:sz w:val="72"/>
          <w:szCs w:val="72"/>
        </w:rPr>
      </w:pPr>
    </w:p>
    <w:p w14:paraId="3E105618">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76813720"/>
      <w:bookmarkStart w:id="2" w:name="_Toc15377425"/>
      <w:bookmarkStart w:id="3" w:name="_Toc15378441"/>
      <w:bookmarkStart w:id="4" w:name="_Toc15396475"/>
      <w:bookmarkStart w:id="5" w:name="_Toc15396597"/>
      <w:bookmarkStart w:id="6"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13C39B48">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77426"/>
      <w:bookmarkStart w:id="8" w:name="_Toc176813721"/>
      <w:bookmarkStart w:id="9" w:name="_Toc15396476"/>
      <w:bookmarkStart w:id="10" w:name="_Toc15378442"/>
      <w:bookmarkStart w:id="11" w:name="_Toc15396598"/>
      <w:bookmarkStart w:id="12" w:name="_Toc15377194"/>
      <w:bookmarkStart w:id="13" w:name="_Toc15306268"/>
      <w:r>
        <w:rPr>
          <w:rFonts w:hint="eastAsia" w:ascii="方正小标宋简体" w:hAnsi="方正小标宋简体" w:eastAsia="方正小标宋简体" w:cs="方正小标宋简体"/>
          <w:sz w:val="72"/>
          <w:szCs w:val="72"/>
        </w:rPr>
        <w:t>射洪市复兴镇中心小学校</w:t>
      </w:r>
      <w:bookmarkEnd w:id="7"/>
      <w:bookmarkEnd w:id="8"/>
      <w:bookmarkEnd w:id="9"/>
      <w:bookmarkEnd w:id="10"/>
      <w:bookmarkEnd w:id="11"/>
      <w:bookmarkEnd w:id="12"/>
      <w:bookmarkEnd w:id="13"/>
      <w:bookmarkStart w:id="14" w:name="_Toc17539"/>
    </w:p>
    <w:p w14:paraId="5228D459">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5" w:name="_Toc176813722"/>
      <w:r>
        <w:rPr>
          <w:rFonts w:hint="eastAsia" w:ascii="方正小标宋简体" w:hAnsi="方正小标宋简体" w:eastAsia="方正小标宋简体" w:cs="方正小标宋简体"/>
          <w:sz w:val="72"/>
          <w:szCs w:val="72"/>
        </w:rPr>
        <w:t>单位决算</w:t>
      </w:r>
      <w:bookmarkEnd w:id="14"/>
      <w:bookmarkEnd w:id="15"/>
    </w:p>
    <w:p w14:paraId="03674735">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C236CCF">
      <w:pPr>
        <w:widowControl/>
        <w:jc w:val="center"/>
        <w:rPr>
          <w:rFonts w:hint="eastAsia" w:ascii="黑体" w:hAnsi="黑体" w:eastAsia="黑体" w:cstheme="minorBidi"/>
          <w:sz w:val="28"/>
          <w:szCs w:val="28"/>
        </w:rPr>
      </w:pPr>
    </w:p>
    <w:p w14:paraId="66120FA6">
      <w:pPr>
        <w:pStyle w:val="12"/>
        <w:rPr>
          <w:rFonts w:hint="eastAsia"/>
        </w:rPr>
      </w:pPr>
      <w:r>
        <w:rPr>
          <w:rFonts w:hint="eastAsia"/>
        </w:rPr>
        <w:t>公开时间：2023年9月15日</w:t>
      </w:r>
    </w:p>
    <w:p w14:paraId="5DEF33F6"/>
    <w:p w14:paraId="3CA94A58">
      <w:pPr>
        <w:pStyle w:val="12"/>
        <w:tabs>
          <w:tab w:val="right" w:leader="dot" w:pos="9460"/>
          <w:tab w:val="clear" w:pos="8296"/>
        </w:tabs>
        <w:adjustRightInd w:val="0"/>
        <w:snapToGrid w:val="0"/>
        <w:spacing w:before="0" w:line="440" w:lineRule="exact"/>
        <w:jc w:val="left"/>
        <w:rPr>
          <w:rFonts w:hint="eastAsia" w:cstheme="minorBidi"/>
          <w:sz w:val="24"/>
          <w:szCs w:val="24"/>
        </w:rPr>
      </w:pPr>
      <w:r>
        <w:rPr>
          <w:rFonts w:hint="eastAsia"/>
          <w:sz w:val="24"/>
        </w:rPr>
        <w:t>第一部分</w:t>
      </w:r>
      <w:r>
        <w:rPr>
          <w:sz w:val="24"/>
        </w:rPr>
        <w:t xml:space="preserve"> </w:t>
      </w:r>
      <w:r>
        <w:rPr>
          <w:rFonts w:hint="eastAsia"/>
          <w:sz w:val="24"/>
        </w:rPr>
        <w:t>单位概况</w:t>
      </w:r>
      <w:r>
        <w:rPr>
          <w:rFonts w:hint="eastAsia"/>
          <w:sz w:val="24"/>
          <w14:ligatures w14:val="standardContextual"/>
        </w:rPr>
        <w:tab/>
      </w:r>
      <w:r>
        <w:rPr>
          <w:rFonts w:hint="eastAsia"/>
          <w:sz w:val="24"/>
          <w14:ligatures w14:val="standardContextual"/>
        </w:rPr>
        <w:t>4</w:t>
      </w:r>
    </w:p>
    <w:p w14:paraId="4595F3FA">
      <w:pPr>
        <w:pStyle w:val="13"/>
        <w:tabs>
          <w:tab w:val="right" w:leader="dot" w:pos="9460"/>
          <w:tab w:val="clear" w:pos="8296"/>
        </w:tabs>
        <w:adjustRightInd w:val="0"/>
        <w:snapToGrid w:val="0"/>
        <w:spacing w:line="440" w:lineRule="exact"/>
        <w:jc w:val="left"/>
        <w:rPr>
          <w:sz w:val="24"/>
        </w:rPr>
      </w:pPr>
      <w:r>
        <w:rPr>
          <w:rFonts w:hint="eastAsia"/>
          <w:sz w:val="24"/>
        </w:rPr>
        <w:t>一、主要职责</w:t>
      </w:r>
      <w:r>
        <w:rPr>
          <w:rFonts w:hint="eastAsia"/>
          <w:sz w:val="24"/>
          <w14:ligatures w14:val="standardContextual"/>
        </w:rPr>
        <w:tab/>
      </w:r>
      <w:r>
        <w:rPr>
          <w:rFonts w:hint="eastAsia"/>
          <w:sz w:val="24"/>
          <w14:ligatures w14:val="standardContextual"/>
        </w:rPr>
        <w:t>4</w:t>
      </w:r>
    </w:p>
    <w:p w14:paraId="24BD87C7">
      <w:pPr>
        <w:pStyle w:val="13"/>
        <w:tabs>
          <w:tab w:val="right" w:leader="dot" w:pos="9460"/>
          <w:tab w:val="clear" w:pos="8296"/>
        </w:tabs>
        <w:adjustRightInd w:val="0"/>
        <w:snapToGrid w:val="0"/>
        <w:spacing w:line="440" w:lineRule="exact"/>
        <w:jc w:val="left"/>
      </w:pPr>
      <w:r>
        <w:rPr>
          <w:rFonts w:hint="eastAsia"/>
          <w:sz w:val="24"/>
        </w:rPr>
        <w:t>二、机构设置</w:t>
      </w:r>
      <w:r>
        <w:rPr>
          <w:rFonts w:hint="eastAsia"/>
          <w:sz w:val="24"/>
          <w14:ligatures w14:val="standardContextual"/>
        </w:rPr>
        <w:tab/>
      </w:r>
      <w:r>
        <w:rPr>
          <w:rFonts w:hint="eastAsia"/>
          <w:sz w:val="24"/>
          <w14:ligatures w14:val="standardContextual"/>
        </w:rPr>
        <w:t>4</w:t>
      </w:r>
    </w:p>
    <w:p w14:paraId="160E9B7D">
      <w:pPr>
        <w:pStyle w:val="12"/>
        <w:tabs>
          <w:tab w:val="right" w:leader="dot" w:pos="9460"/>
          <w:tab w:val="clear" w:pos="8296"/>
        </w:tabs>
        <w:adjustRightInd w:val="0"/>
        <w:snapToGrid w:val="0"/>
        <w:spacing w:before="0" w:line="440" w:lineRule="exact"/>
        <w:jc w:val="left"/>
        <w:rPr>
          <w:rFonts w:hint="eastAsia"/>
          <w:sz w:val="24"/>
          <w:szCs w:val="24"/>
        </w:rPr>
      </w:pPr>
      <w:r>
        <w:rPr>
          <w:rFonts w:hint="eastAsia"/>
          <w:sz w:val="24"/>
        </w:rPr>
        <w:t>第二部分 2023年度单位决算情况说明</w:t>
      </w:r>
      <w:r>
        <w:rPr>
          <w:rFonts w:hint="eastAsia"/>
          <w:sz w:val="24"/>
          <w14:ligatures w14:val="standardContextual"/>
        </w:rPr>
        <w:tab/>
      </w:r>
      <w:r>
        <w:rPr>
          <w:rFonts w:hint="eastAsia"/>
          <w:sz w:val="24"/>
          <w14:ligatures w14:val="standardContextual"/>
        </w:rPr>
        <w:t>5</w:t>
      </w:r>
    </w:p>
    <w:p w14:paraId="496FB4BF">
      <w:pPr>
        <w:pStyle w:val="13"/>
        <w:tabs>
          <w:tab w:val="right" w:leader="dot" w:pos="9460"/>
          <w:tab w:val="clear" w:pos="8296"/>
        </w:tabs>
        <w:adjustRightInd w:val="0"/>
        <w:snapToGrid w:val="0"/>
        <w:spacing w:line="440" w:lineRule="exact"/>
        <w:jc w:val="left"/>
        <w:rPr>
          <w:rFonts w:hint="eastAsia" w:ascii="仿宋" w:hAnsi="仿宋" w:eastAsia="仿宋" w:cstheme="minorBidi"/>
          <w:sz w:val="24"/>
        </w:rPr>
      </w:pPr>
      <w:r>
        <w:rPr>
          <w:rFonts w:hint="eastAsia"/>
          <w:sz w:val="24"/>
        </w:rPr>
        <w:t>一、收入支出决算总体情况说明</w:t>
      </w:r>
      <w:r>
        <w:rPr>
          <w:rFonts w:hint="eastAsia"/>
          <w:sz w:val="24"/>
          <w14:ligatures w14:val="standardContextual"/>
        </w:rPr>
        <w:tab/>
      </w:r>
      <w:r>
        <w:rPr>
          <w:rFonts w:hint="eastAsia"/>
          <w:sz w:val="24"/>
          <w14:ligatures w14:val="standardContextual"/>
        </w:rPr>
        <w:t>5</w:t>
      </w:r>
    </w:p>
    <w:p w14:paraId="5D75CEEA">
      <w:pPr>
        <w:pStyle w:val="13"/>
        <w:tabs>
          <w:tab w:val="right" w:leader="dot" w:pos="9460"/>
          <w:tab w:val="clear" w:pos="8296"/>
        </w:tabs>
        <w:adjustRightInd w:val="0"/>
        <w:snapToGrid w:val="0"/>
        <w:spacing w:line="440" w:lineRule="exact"/>
        <w:jc w:val="left"/>
        <w:rPr>
          <w:rFonts w:hint="eastAsia" w:ascii="仿宋" w:hAnsi="仿宋" w:eastAsia="仿宋" w:cstheme="minorBidi"/>
          <w:sz w:val="24"/>
        </w:rPr>
      </w:pPr>
      <w:r>
        <w:rPr>
          <w:rFonts w:hint="eastAsia"/>
          <w:sz w:val="24"/>
        </w:rPr>
        <w:t>二、收入决算情况说明</w:t>
      </w:r>
      <w:r>
        <w:rPr>
          <w:rFonts w:hint="eastAsia"/>
          <w:sz w:val="24"/>
          <w14:ligatures w14:val="standardContextual"/>
        </w:rPr>
        <w:tab/>
      </w:r>
      <w:r>
        <w:rPr>
          <w:rFonts w:hint="eastAsia"/>
          <w:sz w:val="24"/>
          <w14:ligatures w14:val="standardContextual"/>
        </w:rPr>
        <w:t>5</w:t>
      </w:r>
    </w:p>
    <w:p w14:paraId="0B8FC472">
      <w:pPr>
        <w:pStyle w:val="13"/>
        <w:tabs>
          <w:tab w:val="right" w:leader="dot" w:pos="9460"/>
          <w:tab w:val="clear" w:pos="8296"/>
        </w:tabs>
        <w:adjustRightInd w:val="0"/>
        <w:snapToGrid w:val="0"/>
        <w:spacing w:line="440" w:lineRule="exact"/>
        <w:jc w:val="left"/>
        <w:rPr>
          <w:rFonts w:hint="eastAsia" w:ascii="仿宋" w:hAnsi="仿宋" w:cstheme="minorBidi"/>
          <w:sz w:val="24"/>
        </w:rPr>
      </w:pPr>
      <w:r>
        <w:rPr>
          <w:rFonts w:hint="eastAsia"/>
          <w:sz w:val="24"/>
        </w:rPr>
        <w:t>三、支出决算情况说明</w:t>
      </w:r>
      <w:r>
        <w:rPr>
          <w:rFonts w:hint="eastAsia"/>
          <w:sz w:val="24"/>
          <w14:ligatures w14:val="standardContextual"/>
        </w:rPr>
        <w:tab/>
      </w:r>
      <w:r>
        <w:rPr>
          <w:rFonts w:hint="eastAsia"/>
          <w:sz w:val="24"/>
          <w14:ligatures w14:val="standardContextual"/>
        </w:rPr>
        <w:t>6</w:t>
      </w:r>
    </w:p>
    <w:p w14:paraId="2570104C">
      <w:pPr>
        <w:pStyle w:val="13"/>
        <w:tabs>
          <w:tab w:val="right" w:leader="dot" w:pos="9460"/>
          <w:tab w:val="clear" w:pos="8296"/>
        </w:tabs>
        <w:adjustRightInd w:val="0"/>
        <w:snapToGrid w:val="0"/>
        <w:spacing w:line="440" w:lineRule="exact"/>
        <w:jc w:val="left"/>
        <w:rPr>
          <w:rFonts w:hint="eastAsia" w:ascii="仿宋" w:hAnsi="仿宋" w:cstheme="minorBidi"/>
          <w:sz w:val="24"/>
        </w:rPr>
      </w:pPr>
      <w:r>
        <w:rPr>
          <w:rFonts w:hint="eastAsia"/>
          <w:sz w:val="24"/>
        </w:rPr>
        <w:t>四、财政拨款收入支出决算总体情况说明</w:t>
      </w:r>
      <w:r>
        <w:rPr>
          <w:rFonts w:hint="eastAsia"/>
          <w:sz w:val="24"/>
          <w14:ligatures w14:val="standardContextual"/>
        </w:rPr>
        <w:tab/>
      </w:r>
      <w:r>
        <w:rPr>
          <w:rFonts w:hint="eastAsia"/>
          <w:sz w:val="24"/>
          <w14:ligatures w14:val="standardContextual"/>
        </w:rPr>
        <w:t>7</w:t>
      </w:r>
    </w:p>
    <w:p w14:paraId="572E0701">
      <w:pPr>
        <w:pStyle w:val="13"/>
        <w:tabs>
          <w:tab w:val="right" w:leader="dot" w:pos="9460"/>
          <w:tab w:val="clear" w:pos="8296"/>
        </w:tabs>
        <w:adjustRightInd w:val="0"/>
        <w:snapToGrid w:val="0"/>
        <w:spacing w:line="440" w:lineRule="exact"/>
        <w:jc w:val="left"/>
        <w:rPr>
          <w:rFonts w:hint="eastAsia" w:ascii="仿宋" w:hAnsi="仿宋" w:eastAsia="仿宋" w:cstheme="minorBidi"/>
          <w:sz w:val="24"/>
        </w:rPr>
      </w:pPr>
      <w:r>
        <w:rPr>
          <w:rFonts w:hint="eastAsia"/>
          <w:sz w:val="24"/>
        </w:rPr>
        <w:t>五、一般公共预算财政拨款支出决算情况说明</w:t>
      </w:r>
      <w:r>
        <w:rPr>
          <w:rFonts w:hint="eastAsia"/>
          <w:sz w:val="24"/>
          <w14:ligatures w14:val="standardContextual"/>
        </w:rPr>
        <w:tab/>
      </w:r>
      <w:r>
        <w:rPr>
          <w:rFonts w:hint="eastAsia"/>
          <w:sz w:val="24"/>
          <w14:ligatures w14:val="standardContextual"/>
        </w:rPr>
        <w:t>7</w:t>
      </w:r>
    </w:p>
    <w:p w14:paraId="1BCF9193">
      <w:pPr>
        <w:pStyle w:val="13"/>
        <w:tabs>
          <w:tab w:val="right" w:leader="dot" w:pos="9460"/>
          <w:tab w:val="clear" w:pos="8296"/>
        </w:tabs>
        <w:adjustRightInd w:val="0"/>
        <w:snapToGrid w:val="0"/>
        <w:spacing w:line="440" w:lineRule="exact"/>
        <w:jc w:val="left"/>
        <w:rPr>
          <w:rFonts w:hint="eastAsia" w:ascii="仿宋" w:hAnsi="仿宋" w:cstheme="minorBidi"/>
          <w:sz w:val="24"/>
        </w:rPr>
      </w:pPr>
      <w:r>
        <w:rPr>
          <w:rFonts w:hint="eastAsia"/>
          <w:sz w:val="24"/>
        </w:rPr>
        <w:t>六、一般公共预算财政拨款基本支出决算情况说明</w:t>
      </w:r>
      <w:r>
        <w:rPr>
          <w:rFonts w:hint="eastAsia"/>
          <w:sz w:val="24"/>
          <w14:ligatures w14:val="standardContextual"/>
        </w:rPr>
        <w:tab/>
      </w:r>
      <w:r>
        <w:rPr>
          <w:rFonts w:hint="eastAsia"/>
          <w:sz w:val="24"/>
          <w14:ligatures w14:val="standardContextual"/>
        </w:rPr>
        <w:t>9</w:t>
      </w:r>
    </w:p>
    <w:p w14:paraId="05107093">
      <w:pPr>
        <w:pStyle w:val="13"/>
        <w:tabs>
          <w:tab w:val="right" w:leader="dot" w:pos="9460"/>
          <w:tab w:val="clear" w:pos="8296"/>
        </w:tabs>
        <w:adjustRightInd w:val="0"/>
        <w:snapToGrid w:val="0"/>
        <w:spacing w:line="440" w:lineRule="exact"/>
        <w:jc w:val="left"/>
        <w:rPr>
          <w:rFonts w:hint="eastAsia" w:ascii="仿宋" w:hAnsi="仿宋" w:cstheme="minorBidi"/>
          <w:sz w:val="24"/>
        </w:rPr>
      </w:pPr>
      <w:r>
        <w:rPr>
          <w:rFonts w:hint="eastAsia"/>
          <w:sz w:val="24"/>
        </w:rPr>
        <w:t>七、财政拨款“三公”经费支出决算情况说明</w:t>
      </w:r>
      <w:r>
        <w:rPr>
          <w:rFonts w:hint="eastAsia"/>
          <w:sz w:val="24"/>
          <w14:ligatures w14:val="standardContextual"/>
        </w:rPr>
        <w:tab/>
      </w:r>
      <w:r>
        <w:rPr>
          <w:rFonts w:hint="eastAsia"/>
          <w:sz w:val="24"/>
          <w14:ligatures w14:val="standardContextual"/>
        </w:rPr>
        <w:t>10</w:t>
      </w:r>
    </w:p>
    <w:p w14:paraId="62BB6568">
      <w:pPr>
        <w:pStyle w:val="13"/>
        <w:tabs>
          <w:tab w:val="right" w:leader="dot" w:pos="9460"/>
          <w:tab w:val="clear" w:pos="8296"/>
        </w:tabs>
        <w:adjustRightInd w:val="0"/>
        <w:snapToGrid w:val="0"/>
        <w:spacing w:line="440" w:lineRule="exact"/>
        <w:jc w:val="left"/>
        <w:rPr>
          <w:rFonts w:hint="eastAsia" w:ascii="仿宋" w:hAnsi="仿宋" w:cstheme="minorBidi"/>
          <w:sz w:val="24"/>
        </w:rPr>
      </w:pPr>
      <w:r>
        <w:rPr>
          <w:rFonts w:hint="eastAsia"/>
          <w:sz w:val="24"/>
        </w:rPr>
        <w:t>八、政府性基金预算支出决算情况说明</w:t>
      </w:r>
      <w:r>
        <w:rPr>
          <w:rFonts w:hint="eastAsia"/>
          <w:sz w:val="24"/>
          <w14:ligatures w14:val="standardContextual"/>
        </w:rPr>
        <w:tab/>
      </w:r>
      <w:r>
        <w:rPr>
          <w:rFonts w:hint="eastAsia"/>
          <w:sz w:val="24"/>
          <w14:ligatures w14:val="standardContextual"/>
        </w:rPr>
        <w:t>11</w:t>
      </w:r>
    </w:p>
    <w:p w14:paraId="4A2E34DA">
      <w:pPr>
        <w:pStyle w:val="13"/>
        <w:tabs>
          <w:tab w:val="right" w:leader="dot" w:pos="9460"/>
          <w:tab w:val="clear" w:pos="8296"/>
        </w:tabs>
        <w:adjustRightInd w:val="0"/>
        <w:snapToGrid w:val="0"/>
        <w:spacing w:line="440" w:lineRule="exact"/>
        <w:jc w:val="left"/>
        <w:rPr>
          <w:sz w:val="24"/>
        </w:rPr>
      </w:pPr>
      <w:r>
        <w:rPr>
          <w:rFonts w:hint="eastAsia"/>
          <w:sz w:val="24"/>
        </w:rPr>
        <w:t>九、国有资本经营预算支出决算情况说明</w:t>
      </w:r>
      <w:r>
        <w:rPr>
          <w:rFonts w:hint="eastAsia"/>
          <w:sz w:val="24"/>
          <w14:ligatures w14:val="standardContextual"/>
        </w:rPr>
        <w:tab/>
      </w:r>
      <w:r>
        <w:rPr>
          <w:rFonts w:hint="eastAsia"/>
          <w:sz w:val="24"/>
          <w14:ligatures w14:val="standardContextual"/>
        </w:rPr>
        <w:t>11</w:t>
      </w:r>
    </w:p>
    <w:p w14:paraId="69AE6283">
      <w:pPr>
        <w:pStyle w:val="13"/>
        <w:tabs>
          <w:tab w:val="right" w:leader="dot" w:pos="9460"/>
          <w:tab w:val="clear" w:pos="8296"/>
        </w:tabs>
        <w:adjustRightInd w:val="0"/>
        <w:snapToGrid w:val="0"/>
        <w:spacing w:line="440" w:lineRule="exact"/>
        <w:jc w:val="left"/>
        <w:rPr>
          <w:sz w:val="24"/>
        </w:rPr>
      </w:pPr>
      <w:r>
        <w:rPr>
          <w:rFonts w:hint="eastAsia"/>
          <w:sz w:val="24"/>
        </w:rPr>
        <w:t>十、其他重要事项的情况说明</w:t>
      </w:r>
      <w:r>
        <w:rPr>
          <w:rFonts w:hint="eastAsia"/>
          <w:sz w:val="24"/>
          <w14:ligatures w14:val="standardContextual"/>
        </w:rPr>
        <w:tab/>
      </w:r>
      <w:r>
        <w:rPr>
          <w:rFonts w:hint="eastAsia"/>
          <w:sz w:val="24"/>
          <w14:ligatures w14:val="standardContextual"/>
        </w:rPr>
        <w:t>12</w:t>
      </w:r>
    </w:p>
    <w:p w14:paraId="62063B31">
      <w:pPr>
        <w:pStyle w:val="12"/>
        <w:tabs>
          <w:tab w:val="right" w:leader="dot" w:pos="9460"/>
          <w:tab w:val="clear" w:pos="8296"/>
        </w:tabs>
        <w:adjustRightInd w:val="0"/>
        <w:snapToGrid w:val="0"/>
        <w:spacing w:before="0" w:line="440" w:lineRule="exact"/>
        <w:jc w:val="left"/>
        <w:rPr>
          <w:rFonts w:hint="eastAsia" w:cstheme="minorBidi"/>
          <w:sz w:val="24"/>
          <w:szCs w:val="24"/>
        </w:rPr>
      </w:pPr>
      <w:r>
        <w:rPr>
          <w:rFonts w:hint="eastAsia"/>
          <w:sz w:val="24"/>
        </w:rPr>
        <w:t>第三部分</w:t>
      </w:r>
      <w:r>
        <w:rPr>
          <w:sz w:val="24"/>
        </w:rPr>
        <w:t xml:space="preserve"> </w:t>
      </w:r>
      <w:r>
        <w:rPr>
          <w:rFonts w:hint="eastAsia"/>
          <w:sz w:val="24"/>
        </w:rPr>
        <w:t>名词解释</w:t>
      </w:r>
      <w:r>
        <w:rPr>
          <w:rFonts w:hint="eastAsia"/>
          <w:sz w:val="24"/>
          <w14:ligatures w14:val="standardContextual"/>
        </w:rPr>
        <w:tab/>
      </w:r>
      <w:r>
        <w:rPr>
          <w:rFonts w:hint="eastAsia"/>
          <w:sz w:val="24"/>
          <w14:ligatures w14:val="standardContextual"/>
        </w:rPr>
        <w:t>13</w:t>
      </w:r>
    </w:p>
    <w:p w14:paraId="2419AD74">
      <w:pPr>
        <w:pStyle w:val="12"/>
        <w:tabs>
          <w:tab w:val="right" w:leader="dot" w:pos="9460"/>
          <w:tab w:val="clear" w:pos="8296"/>
        </w:tabs>
        <w:adjustRightInd w:val="0"/>
        <w:snapToGrid w:val="0"/>
        <w:spacing w:before="0" w:line="440" w:lineRule="exact"/>
        <w:jc w:val="left"/>
        <w:rPr>
          <w:rFonts w:hint="eastAsia" w:cstheme="minorBidi"/>
          <w:sz w:val="24"/>
          <w:szCs w:val="24"/>
        </w:rPr>
      </w:pPr>
      <w:r>
        <w:rPr>
          <w:rFonts w:hint="eastAsia"/>
          <w:sz w:val="24"/>
        </w:rPr>
        <w:t>第四部分</w:t>
      </w:r>
      <w:r>
        <w:rPr>
          <w:sz w:val="24"/>
        </w:rPr>
        <w:t xml:space="preserve"> </w:t>
      </w:r>
      <w:r>
        <w:rPr>
          <w:rFonts w:hint="eastAsia"/>
          <w:sz w:val="24"/>
        </w:rPr>
        <w:t>附件</w:t>
      </w:r>
      <w:r>
        <w:rPr>
          <w:rFonts w:hint="eastAsia"/>
          <w:sz w:val="24"/>
          <w14:ligatures w14:val="standardContextual"/>
        </w:rPr>
        <w:tab/>
      </w:r>
      <w:r>
        <w:rPr>
          <w:rFonts w:hint="eastAsia"/>
          <w:sz w:val="24"/>
          <w14:ligatures w14:val="standardContextual"/>
        </w:rPr>
        <w:t>15</w:t>
      </w:r>
    </w:p>
    <w:p w14:paraId="08200F24">
      <w:pPr>
        <w:pStyle w:val="12"/>
        <w:tabs>
          <w:tab w:val="right" w:leader="dot" w:pos="9460"/>
          <w:tab w:val="clear" w:pos="8296"/>
        </w:tabs>
        <w:adjustRightInd w:val="0"/>
        <w:snapToGrid w:val="0"/>
        <w:spacing w:before="0" w:line="440" w:lineRule="exact"/>
        <w:jc w:val="left"/>
        <w:rPr>
          <w:rFonts w:hint="eastAsia" w:cstheme="minorBidi"/>
          <w:sz w:val="24"/>
          <w:szCs w:val="24"/>
        </w:rPr>
      </w:pPr>
      <w:r>
        <w:rPr>
          <w:rFonts w:hint="eastAsia"/>
          <w:sz w:val="24"/>
        </w:rPr>
        <w:t>第五部分</w:t>
      </w:r>
      <w:r>
        <w:rPr>
          <w:sz w:val="24"/>
        </w:rPr>
        <w:t xml:space="preserve"> </w:t>
      </w:r>
      <w:r>
        <w:rPr>
          <w:rFonts w:hint="eastAsia"/>
          <w:sz w:val="24"/>
        </w:rPr>
        <w:t>附表</w:t>
      </w:r>
      <w:r>
        <w:rPr>
          <w:rFonts w:hint="eastAsia"/>
          <w:sz w:val="24"/>
          <w14:ligatures w14:val="standardContextual"/>
        </w:rPr>
        <w:tab/>
      </w:r>
      <w:r>
        <w:rPr>
          <w:rFonts w:hint="eastAsia"/>
          <w:sz w:val="24"/>
          <w14:ligatures w14:val="standardContextual"/>
        </w:rPr>
        <w:t>18</w:t>
      </w:r>
    </w:p>
    <w:p w14:paraId="50F17CF1">
      <w:pPr>
        <w:pStyle w:val="13"/>
        <w:adjustRightInd w:val="0"/>
        <w:snapToGrid w:val="0"/>
        <w:spacing w:line="440" w:lineRule="exact"/>
        <w:jc w:val="left"/>
        <w:rPr>
          <w:sz w:val="24"/>
        </w:rPr>
      </w:pPr>
      <w:r>
        <w:rPr>
          <w:rFonts w:hint="eastAsia"/>
          <w:sz w:val="24"/>
        </w:rPr>
        <w:t>一、收入支出决算总表</w:t>
      </w:r>
    </w:p>
    <w:p w14:paraId="5B53117A">
      <w:pPr>
        <w:pStyle w:val="13"/>
        <w:adjustRightInd w:val="0"/>
        <w:snapToGrid w:val="0"/>
        <w:spacing w:line="440" w:lineRule="exact"/>
        <w:jc w:val="left"/>
        <w:rPr>
          <w:sz w:val="24"/>
        </w:rPr>
      </w:pPr>
      <w:r>
        <w:rPr>
          <w:rFonts w:hint="eastAsia"/>
          <w:sz w:val="24"/>
        </w:rPr>
        <w:t>二、收入决算表</w:t>
      </w:r>
    </w:p>
    <w:p w14:paraId="1CD24CB0">
      <w:pPr>
        <w:pStyle w:val="13"/>
        <w:adjustRightInd w:val="0"/>
        <w:snapToGrid w:val="0"/>
        <w:spacing w:line="440" w:lineRule="exact"/>
        <w:jc w:val="left"/>
        <w:rPr>
          <w:sz w:val="24"/>
        </w:rPr>
      </w:pPr>
      <w:r>
        <w:rPr>
          <w:rFonts w:hint="eastAsia"/>
          <w:sz w:val="24"/>
        </w:rPr>
        <w:t>三、支出决算表</w:t>
      </w:r>
    </w:p>
    <w:p w14:paraId="4AD4CDD5">
      <w:pPr>
        <w:pStyle w:val="13"/>
        <w:adjustRightInd w:val="0"/>
        <w:snapToGrid w:val="0"/>
        <w:spacing w:line="440" w:lineRule="exact"/>
        <w:jc w:val="left"/>
        <w:rPr>
          <w:sz w:val="24"/>
        </w:rPr>
      </w:pPr>
      <w:r>
        <w:rPr>
          <w:rFonts w:hint="eastAsia"/>
          <w:sz w:val="24"/>
        </w:rPr>
        <w:t>四、财政拨款收入支出决算总表</w:t>
      </w:r>
    </w:p>
    <w:p w14:paraId="60E952AC">
      <w:pPr>
        <w:pStyle w:val="13"/>
        <w:adjustRightInd w:val="0"/>
        <w:snapToGrid w:val="0"/>
        <w:spacing w:line="440" w:lineRule="exact"/>
        <w:jc w:val="left"/>
        <w:rPr>
          <w:sz w:val="24"/>
        </w:rPr>
      </w:pPr>
      <w:r>
        <w:rPr>
          <w:rFonts w:hint="eastAsia"/>
          <w:sz w:val="24"/>
        </w:rPr>
        <w:t>五、财政拨款支出决算明细表</w:t>
      </w:r>
    </w:p>
    <w:p w14:paraId="721578B5">
      <w:pPr>
        <w:pStyle w:val="13"/>
        <w:adjustRightInd w:val="0"/>
        <w:snapToGrid w:val="0"/>
        <w:spacing w:line="440" w:lineRule="exact"/>
        <w:jc w:val="left"/>
        <w:rPr>
          <w:sz w:val="24"/>
        </w:rPr>
      </w:pPr>
      <w:r>
        <w:rPr>
          <w:rFonts w:hint="eastAsia"/>
          <w:sz w:val="24"/>
        </w:rPr>
        <w:t>六、一般公共预算财政拨款支出决算表</w:t>
      </w:r>
    </w:p>
    <w:p w14:paraId="3CC4AAFF">
      <w:pPr>
        <w:pStyle w:val="13"/>
        <w:adjustRightInd w:val="0"/>
        <w:snapToGrid w:val="0"/>
        <w:spacing w:line="440" w:lineRule="exact"/>
        <w:jc w:val="left"/>
        <w:rPr>
          <w:sz w:val="24"/>
        </w:rPr>
      </w:pPr>
      <w:r>
        <w:rPr>
          <w:rFonts w:hint="eastAsia"/>
          <w:sz w:val="24"/>
        </w:rPr>
        <w:t>七、一般公共预算财政拨款支出决算明细表</w:t>
      </w:r>
    </w:p>
    <w:p w14:paraId="5FE0BA33">
      <w:pPr>
        <w:pStyle w:val="13"/>
        <w:adjustRightInd w:val="0"/>
        <w:snapToGrid w:val="0"/>
        <w:spacing w:line="440" w:lineRule="exact"/>
        <w:jc w:val="left"/>
        <w:rPr>
          <w:sz w:val="24"/>
        </w:rPr>
      </w:pPr>
      <w:r>
        <w:rPr>
          <w:rFonts w:hint="eastAsia"/>
          <w:sz w:val="24"/>
        </w:rPr>
        <w:t>八、一般公共预算财政拨款基本支出决算明细表</w:t>
      </w:r>
    </w:p>
    <w:p w14:paraId="4B540DE5">
      <w:pPr>
        <w:pStyle w:val="13"/>
        <w:adjustRightInd w:val="0"/>
        <w:snapToGrid w:val="0"/>
        <w:spacing w:line="440" w:lineRule="exact"/>
        <w:jc w:val="left"/>
        <w:rPr>
          <w:sz w:val="24"/>
        </w:rPr>
      </w:pPr>
      <w:r>
        <w:rPr>
          <w:rFonts w:hint="eastAsia"/>
          <w:sz w:val="24"/>
        </w:rPr>
        <w:t>九、一般公共预算财政拨款项目支出决算表</w:t>
      </w:r>
    </w:p>
    <w:p w14:paraId="72A5DC16">
      <w:pPr>
        <w:pStyle w:val="13"/>
        <w:adjustRightInd w:val="0"/>
        <w:snapToGrid w:val="0"/>
        <w:spacing w:line="440" w:lineRule="exact"/>
        <w:jc w:val="left"/>
        <w:rPr>
          <w:sz w:val="24"/>
        </w:rPr>
      </w:pPr>
      <w:r>
        <w:rPr>
          <w:rFonts w:hint="eastAsia"/>
          <w:sz w:val="24"/>
        </w:rPr>
        <w:t>十、政府性基金预算财政拨款收入支出决算表</w:t>
      </w:r>
    </w:p>
    <w:p w14:paraId="5FF92649">
      <w:pPr>
        <w:pStyle w:val="13"/>
        <w:adjustRightInd w:val="0"/>
        <w:snapToGrid w:val="0"/>
        <w:spacing w:line="440" w:lineRule="exact"/>
        <w:jc w:val="left"/>
        <w:rPr>
          <w:sz w:val="24"/>
        </w:rPr>
      </w:pPr>
      <w:r>
        <w:rPr>
          <w:rFonts w:hint="eastAsia"/>
          <w:sz w:val="24"/>
        </w:rPr>
        <w:t>十一、国有资本经营预算财政拨款收入支出决算表</w:t>
      </w:r>
    </w:p>
    <w:p w14:paraId="743EA6BE">
      <w:pPr>
        <w:pStyle w:val="13"/>
        <w:adjustRightInd w:val="0"/>
        <w:snapToGrid w:val="0"/>
        <w:spacing w:line="440" w:lineRule="exact"/>
        <w:jc w:val="left"/>
        <w:rPr>
          <w:sz w:val="24"/>
        </w:rPr>
      </w:pPr>
      <w:r>
        <w:rPr>
          <w:rFonts w:hint="eastAsia"/>
          <w:sz w:val="24"/>
        </w:rPr>
        <w:t>十二、国有资本经营预算财政拨款支出决算表</w:t>
      </w:r>
    </w:p>
    <w:p w14:paraId="228FBA44">
      <w:pPr>
        <w:pStyle w:val="13"/>
        <w:adjustRightInd w:val="0"/>
        <w:snapToGrid w:val="0"/>
        <w:spacing w:line="440" w:lineRule="exact"/>
        <w:jc w:val="left"/>
        <w:rPr>
          <w:sz w:val="24"/>
        </w:rPr>
      </w:pPr>
      <w:r>
        <w:rPr>
          <w:rFonts w:hint="eastAsia"/>
          <w:sz w:val="24"/>
        </w:rPr>
        <w:t>十三、财政拨款“三公”经费支出决算表</w:t>
      </w:r>
    </w:p>
    <w:p w14:paraId="7EE98443">
      <w:pPr>
        <w:widowControl/>
        <w:adjustRightInd w:val="0"/>
        <w:snapToGrid w:val="0"/>
        <w:spacing w:line="440" w:lineRule="exact"/>
        <w:ind w:firstLine="1320" w:firstLineChars="550"/>
        <w:jc w:val="left"/>
        <w:rPr>
          <w:rFonts w:hint="eastAsia" w:ascii="仿宋" w:hAnsi="仿宋" w:eastAsia="仿宋"/>
          <w:sz w:val="24"/>
        </w:rPr>
      </w:pPr>
    </w:p>
    <w:p w14:paraId="5F83FC11">
      <w:pPr>
        <w:widowControl/>
        <w:spacing w:line="440" w:lineRule="exact"/>
        <w:jc w:val="left"/>
        <w:rPr>
          <w:rFonts w:hint="eastAsia" w:ascii="仿宋" w:hAnsi="仿宋" w:eastAsia="仿宋"/>
          <w:bCs/>
          <w:kern w:val="44"/>
          <w:sz w:val="24"/>
        </w:rPr>
      </w:pPr>
      <w:bookmarkStart w:id="16" w:name="_Toc15396599"/>
      <w:bookmarkStart w:id="17" w:name="_Toc15377196"/>
      <w:r>
        <w:rPr>
          <w:rFonts w:ascii="仿宋" w:hAnsi="仿宋" w:eastAsia="仿宋"/>
          <w:b/>
          <w:sz w:val="24"/>
        </w:rPr>
        <w:br w:type="page"/>
      </w:r>
    </w:p>
    <w:p w14:paraId="656A1095">
      <w:pPr>
        <w:pStyle w:val="3"/>
        <w:jc w:val="center"/>
        <w:rPr>
          <w:rStyle w:val="27"/>
          <w:rFonts w:hint="eastAsia" w:ascii="黑体" w:hAnsi="黑体" w:eastAsia="黑体"/>
          <w:b/>
          <w:bCs w:val="0"/>
        </w:rPr>
      </w:pPr>
      <w:bookmarkStart w:id="18" w:name="_Toc176813723"/>
      <w:r>
        <w:rPr>
          <w:rFonts w:hint="eastAsia" w:ascii="黑体" w:hAnsi="黑体" w:eastAsia="黑体"/>
          <w:b w:val="0"/>
        </w:rPr>
        <w:t>第一部分 单位</w:t>
      </w:r>
      <w:r>
        <w:rPr>
          <w:rStyle w:val="27"/>
          <w:rFonts w:hint="eastAsia" w:ascii="黑体" w:hAnsi="黑体" w:eastAsia="黑体"/>
          <w:b w:val="0"/>
          <w:bCs w:val="0"/>
        </w:rPr>
        <w:t>概况</w:t>
      </w:r>
      <w:bookmarkEnd w:id="16"/>
      <w:bookmarkEnd w:id="17"/>
      <w:bookmarkEnd w:id="18"/>
    </w:p>
    <w:p w14:paraId="310B205C">
      <w:pPr>
        <w:widowControl/>
        <w:jc w:val="left"/>
        <w:rPr>
          <w:rFonts w:ascii="黑体" w:eastAsia="黑体"/>
          <w:sz w:val="32"/>
          <w:szCs w:val="32"/>
        </w:rPr>
      </w:pPr>
    </w:p>
    <w:p w14:paraId="12E54968">
      <w:pPr>
        <w:pStyle w:val="4"/>
        <w:numPr>
          <w:ilvl w:val="0"/>
          <w:numId w:val="1"/>
        </w:numPr>
        <w:rPr>
          <w:rStyle w:val="28"/>
          <w:rFonts w:hint="eastAsia" w:ascii="黑体" w:hAnsi="黑体" w:eastAsia="黑体"/>
          <w:b w:val="0"/>
          <w:bCs w:val="0"/>
        </w:rPr>
      </w:pPr>
      <w:bookmarkStart w:id="19" w:name="_Toc176813724"/>
      <w:bookmarkStart w:id="20" w:name="_Toc15396600"/>
      <w:bookmarkStart w:id="21" w:name="_Toc15377197"/>
      <w:r>
        <w:rPr>
          <w:rStyle w:val="28"/>
          <w:rFonts w:hint="eastAsia" w:ascii="黑体" w:hAnsi="黑体" w:eastAsia="黑体"/>
          <w:b w:val="0"/>
          <w:bCs w:val="0"/>
        </w:rPr>
        <w:t>主要职责</w:t>
      </w:r>
      <w:bookmarkEnd w:id="19"/>
    </w:p>
    <w:p w14:paraId="013DE869">
      <w:pPr>
        <w:pStyle w:val="6"/>
        <w:snapToGrid w:val="0"/>
        <w:spacing w:before="93" w:line="600" w:lineRule="exact"/>
        <w:ind w:firstLine="672" w:firstLineChars="210"/>
        <w:outlineLvl w:val="2"/>
        <w:rPr>
          <w:rFonts w:hint="eastAsia" w:ascii="仿宋" w:hAnsi="仿宋" w:eastAsia="仿宋"/>
          <w:color w:val="000000"/>
          <w:sz w:val="32"/>
        </w:rPr>
      </w:pPr>
      <w:bookmarkStart w:id="22" w:name="_Toc15377198"/>
      <w:bookmarkStart w:id="23" w:name="_Toc176813725"/>
      <w:bookmarkStart w:id="24" w:name="_Toc15378445"/>
      <w:r>
        <w:rPr>
          <w:rFonts w:hint="eastAsia" w:ascii="仿宋" w:hAnsi="仿宋" w:eastAsia="仿宋"/>
          <w:color w:val="000000"/>
          <w:sz w:val="32"/>
        </w:rPr>
        <w:t>（一）主要职能。</w:t>
      </w:r>
      <w:bookmarkEnd w:id="22"/>
      <w:bookmarkEnd w:id="23"/>
      <w:bookmarkEnd w:id="24"/>
    </w:p>
    <w:p w14:paraId="3F09BE84">
      <w:pPr>
        <w:pStyle w:val="6"/>
        <w:snapToGrid w:val="0"/>
        <w:spacing w:before="93" w:line="600" w:lineRule="exact"/>
        <w:outlineLvl w:val="2"/>
        <w:rPr>
          <w:rFonts w:hint="eastAsia" w:hAnsi="仿宋"/>
          <w:sz w:val="32"/>
        </w:rPr>
      </w:pPr>
      <w:bookmarkStart w:id="25" w:name="_Toc176813726"/>
      <w:r>
        <w:rPr>
          <w:rFonts w:hint="eastAsia" w:hAnsi="仿宋"/>
          <w:sz w:val="32"/>
        </w:rPr>
        <w:t>1、实施小学义务教育，促进基础教育发展.</w:t>
      </w:r>
      <w:bookmarkEnd w:id="25"/>
    </w:p>
    <w:p w14:paraId="73DE9489">
      <w:pPr>
        <w:pStyle w:val="6"/>
        <w:snapToGrid w:val="0"/>
        <w:spacing w:before="93" w:line="600" w:lineRule="exact"/>
        <w:outlineLvl w:val="2"/>
        <w:rPr>
          <w:rFonts w:hint="eastAsia" w:hAnsi="仿宋"/>
          <w:sz w:val="32"/>
        </w:rPr>
      </w:pPr>
      <w:bookmarkStart w:id="26" w:name="_Toc176813727"/>
      <w:r>
        <w:rPr>
          <w:rFonts w:hint="eastAsia" w:hAnsi="仿宋"/>
          <w:sz w:val="32"/>
        </w:rPr>
        <w:t>2、小学学历教育及相关社会服务。</w:t>
      </w:r>
      <w:bookmarkEnd w:id="26"/>
    </w:p>
    <w:p w14:paraId="3CF5351F">
      <w:pPr>
        <w:pStyle w:val="6"/>
        <w:snapToGrid w:val="0"/>
        <w:spacing w:before="93" w:line="600" w:lineRule="exact"/>
        <w:ind w:firstLine="672" w:firstLineChars="210"/>
        <w:outlineLvl w:val="2"/>
        <w:rPr>
          <w:rFonts w:hint="eastAsia" w:ascii="仿宋" w:hAnsi="仿宋" w:eastAsia="仿宋"/>
          <w:color w:val="000000"/>
          <w:sz w:val="32"/>
        </w:rPr>
      </w:pPr>
      <w:bookmarkStart w:id="27" w:name="_Toc15378446"/>
      <w:bookmarkStart w:id="28" w:name="_Toc176813728"/>
      <w:bookmarkStart w:id="29" w:name="_Toc15377199"/>
      <w:r>
        <w:rPr>
          <w:rFonts w:hint="eastAsia" w:ascii="仿宋" w:hAnsi="仿宋" w:eastAsia="仿宋"/>
          <w:color w:val="000000"/>
          <w:sz w:val="32"/>
        </w:rPr>
        <w:t>（二）2023年重点工作完成情况。</w:t>
      </w:r>
      <w:bookmarkEnd w:id="27"/>
      <w:bookmarkEnd w:id="28"/>
      <w:bookmarkEnd w:id="29"/>
    </w:p>
    <w:p w14:paraId="2603A8BA">
      <w:pPr>
        <w:pStyle w:val="6"/>
        <w:snapToGrid w:val="0"/>
        <w:spacing w:before="93" w:line="600" w:lineRule="exact"/>
        <w:ind w:left="480" w:hanging="480" w:hangingChars="150"/>
        <w:outlineLvl w:val="2"/>
        <w:rPr>
          <w:rFonts w:hint="eastAsia" w:hAnsi="仿宋"/>
          <w:sz w:val="32"/>
        </w:rPr>
      </w:pPr>
      <w:bookmarkStart w:id="30" w:name="_Toc176813729"/>
      <w:r>
        <w:rPr>
          <w:rFonts w:hint="eastAsia" w:hAnsi="仿宋"/>
          <w:sz w:val="32"/>
        </w:rPr>
        <w:t>1、实施开展好辖区内适龄儿童的义务教育，推动学校教育教学工作顺利进行，完成年度教育教学任务。</w:t>
      </w:r>
      <w:bookmarkEnd w:id="30"/>
    </w:p>
    <w:p w14:paraId="756C9F77">
      <w:pPr>
        <w:pStyle w:val="6"/>
        <w:snapToGrid w:val="0"/>
        <w:spacing w:before="93" w:line="600" w:lineRule="exact"/>
        <w:outlineLvl w:val="2"/>
        <w:rPr>
          <w:rFonts w:hint="eastAsia" w:hAnsi="仿宋"/>
          <w:sz w:val="32"/>
        </w:rPr>
      </w:pPr>
      <w:bookmarkStart w:id="31" w:name="_Toc176813730"/>
      <w:r>
        <w:rPr>
          <w:rFonts w:hint="eastAsia" w:hAnsi="仿宋"/>
          <w:sz w:val="32"/>
        </w:rPr>
        <w:t>2、加强学校管理和教师队伍建设，提升教育教学质量。</w:t>
      </w:r>
      <w:bookmarkEnd w:id="31"/>
    </w:p>
    <w:p w14:paraId="632E8566">
      <w:pPr>
        <w:pStyle w:val="6"/>
        <w:snapToGrid w:val="0"/>
        <w:spacing w:before="93" w:line="600" w:lineRule="exact"/>
        <w:ind w:left="480" w:hanging="480" w:hangingChars="150"/>
        <w:outlineLvl w:val="2"/>
        <w:rPr>
          <w:rFonts w:hint="eastAsia" w:hAnsi="仿宋"/>
          <w:sz w:val="32"/>
        </w:rPr>
      </w:pPr>
      <w:bookmarkStart w:id="32" w:name="_Toc176813731"/>
      <w:r>
        <w:rPr>
          <w:rFonts w:hint="eastAsia" w:hAnsi="仿宋"/>
          <w:sz w:val="32"/>
        </w:rPr>
        <w:t>3、履行学校教育教学职责，探究农村留守儿童教育管理策略，促进留守儿童身心健康发展。</w:t>
      </w:r>
      <w:bookmarkEnd w:id="32"/>
    </w:p>
    <w:p w14:paraId="0AC08CEC">
      <w:pPr>
        <w:pStyle w:val="6"/>
        <w:snapToGrid w:val="0"/>
        <w:spacing w:before="93" w:line="600" w:lineRule="exact"/>
        <w:outlineLvl w:val="2"/>
        <w:rPr>
          <w:rFonts w:hint="eastAsia" w:hAnsi="仿宋"/>
          <w:sz w:val="32"/>
        </w:rPr>
      </w:pPr>
      <w:bookmarkStart w:id="33" w:name="_Toc176813732"/>
      <w:r>
        <w:rPr>
          <w:rFonts w:hint="eastAsia" w:hAnsi="仿宋"/>
          <w:sz w:val="32"/>
        </w:rPr>
        <w:t>4、资助建档立卡贫困学生。</w:t>
      </w:r>
      <w:bookmarkEnd w:id="33"/>
    </w:p>
    <w:p w14:paraId="17EAFEAC">
      <w:pPr>
        <w:pStyle w:val="6"/>
        <w:snapToGrid w:val="0"/>
        <w:spacing w:before="93" w:line="600" w:lineRule="exact"/>
        <w:outlineLvl w:val="2"/>
        <w:rPr>
          <w:rFonts w:hint="eastAsia" w:hAnsi="仿宋"/>
          <w:sz w:val="32"/>
          <w:lang w:val="zh-CN"/>
        </w:rPr>
      </w:pPr>
      <w:bookmarkStart w:id="34" w:name="_Toc176813733"/>
      <w:r>
        <w:rPr>
          <w:rFonts w:hint="eastAsia" w:hAnsi="仿宋"/>
          <w:sz w:val="32"/>
        </w:rPr>
        <w:t>5、其他相关社会服务工作。</w:t>
      </w:r>
      <w:bookmarkEnd w:id="34"/>
    </w:p>
    <w:p w14:paraId="2D38C428"/>
    <w:p w14:paraId="75CA0ACB">
      <w:pPr>
        <w:pStyle w:val="4"/>
        <w:rPr>
          <w:rFonts w:hint="eastAsia" w:ascii="黑体" w:hAnsi="黑体" w:eastAsia="黑体"/>
          <w:b w:val="0"/>
        </w:rPr>
      </w:pPr>
      <w:bookmarkStart w:id="35" w:name="_Toc176813734"/>
      <w:r>
        <w:rPr>
          <w:rFonts w:hint="eastAsia" w:ascii="黑体" w:hAnsi="黑体" w:eastAsia="黑体"/>
          <w:b w:val="0"/>
        </w:rPr>
        <w:t>二、机构设置</w:t>
      </w:r>
      <w:bookmarkEnd w:id="35"/>
    </w:p>
    <w:bookmarkEnd w:id="20"/>
    <w:bookmarkEnd w:id="21"/>
    <w:p w14:paraId="630D0CE6">
      <w:pPr>
        <w:ind w:firstLine="800"/>
        <w:rPr>
          <w:rFonts w:hint="eastAsia" w:ascii="仿宋" w:hAnsi="仿宋" w:eastAsia="仿宋"/>
          <w:sz w:val="32"/>
        </w:rPr>
      </w:pPr>
      <w:r>
        <w:rPr>
          <w:rFonts w:hint="eastAsia" w:ascii="仿宋_GB2312" w:hAnsi="仿宋_GB2312" w:eastAsia="仿宋_GB2312"/>
          <w:sz w:val="32"/>
          <w:lang w:val="zh-CN"/>
        </w:rPr>
        <w:t>射洪市复兴镇中心小学校</w:t>
      </w:r>
      <w:r>
        <w:rPr>
          <w:rFonts w:hint="eastAsia" w:ascii="仿宋" w:hAnsi="仿宋" w:eastAsia="仿宋"/>
          <w:sz w:val="32"/>
        </w:rPr>
        <w:t>下属二级单位0个，其中行政单位0个，参照公务员法管理的事业单位0个，其他事业单位0个。</w:t>
      </w:r>
    </w:p>
    <w:p w14:paraId="06B4B6D7">
      <w:pPr>
        <w:widowControl/>
        <w:jc w:val="left"/>
        <w:rPr>
          <w:rFonts w:hint="eastAsia" w:ascii="仿宋" w:hAnsi="仿宋" w:eastAsia="仿宋"/>
          <w:kern w:val="0"/>
          <w:sz w:val="32"/>
          <w:szCs w:val="32"/>
        </w:rPr>
      </w:pPr>
      <w:r>
        <w:rPr>
          <w:rFonts w:ascii="仿宋" w:hAnsi="仿宋" w:eastAsia="仿宋"/>
          <w:sz w:val="32"/>
          <w:szCs w:val="32"/>
        </w:rPr>
        <w:br w:type="page"/>
      </w:r>
    </w:p>
    <w:p w14:paraId="5DD6FD11">
      <w:pPr>
        <w:pStyle w:val="3"/>
        <w:ind w:right="440"/>
        <w:jc w:val="center"/>
        <w:rPr>
          <w:rStyle w:val="27"/>
          <w:rFonts w:hint="eastAsia" w:ascii="黑体" w:hAnsi="黑体" w:eastAsia="黑体"/>
          <w:b w:val="0"/>
          <w:bCs/>
        </w:rPr>
      </w:pPr>
      <w:bookmarkStart w:id="36" w:name="_Toc15396602"/>
      <w:bookmarkStart w:id="37" w:name="_Toc176813735"/>
      <w:bookmarkStart w:id="38"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36"/>
      <w:bookmarkEnd w:id="37"/>
      <w:bookmarkEnd w:id="38"/>
    </w:p>
    <w:p w14:paraId="1BB76067"/>
    <w:p w14:paraId="64FA001F">
      <w:pPr>
        <w:pStyle w:val="26"/>
        <w:numPr>
          <w:ilvl w:val="0"/>
          <w:numId w:val="2"/>
        </w:numPr>
        <w:spacing w:line="600" w:lineRule="exact"/>
        <w:ind w:firstLineChars="0"/>
        <w:outlineLvl w:val="1"/>
        <w:rPr>
          <w:rStyle w:val="28"/>
          <w:rFonts w:hint="eastAsia" w:ascii="黑体" w:hAnsi="黑体" w:eastAsia="黑体"/>
          <w:b w:val="0"/>
        </w:rPr>
      </w:pPr>
      <w:bookmarkStart w:id="39" w:name="_Toc15396603"/>
      <w:bookmarkStart w:id="40" w:name="_Toc15377205"/>
      <w:bookmarkStart w:id="41" w:name="_Toc176813736"/>
      <w:r>
        <w:rPr>
          <w:rFonts w:hint="eastAsia" w:ascii="黑体" w:hAnsi="黑体" w:eastAsia="黑体"/>
          <w:sz w:val="32"/>
          <w:szCs w:val="32"/>
        </w:rPr>
        <w:t>收</w:t>
      </w:r>
      <w:r>
        <w:rPr>
          <w:rStyle w:val="28"/>
          <w:rFonts w:hint="eastAsia" w:ascii="黑体" w:hAnsi="黑体" w:eastAsia="黑体"/>
          <w:b w:val="0"/>
        </w:rPr>
        <w:t>入支出决算总体情况说明</w:t>
      </w:r>
      <w:bookmarkEnd w:id="39"/>
      <w:bookmarkEnd w:id="40"/>
      <w:bookmarkEnd w:id="41"/>
    </w:p>
    <w:p w14:paraId="65E381A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823.48</w:t>
      </w:r>
      <w:r>
        <w:rPr>
          <w:rFonts w:hint="eastAsia" w:ascii="仿宋" w:hAnsi="仿宋" w:eastAsia="仿宋"/>
          <w:sz w:val="32"/>
          <w:szCs w:val="32"/>
        </w:rPr>
        <w:t>万元。与2022年度相比，收、支总计各增加2.73万元，增长1.00</w:t>
      </w:r>
      <w:r>
        <w:rPr>
          <w:rFonts w:ascii="仿宋" w:hAnsi="仿宋" w:eastAsia="仿宋"/>
          <w:sz w:val="32"/>
          <w:szCs w:val="32"/>
        </w:rPr>
        <w:t>%</w:t>
      </w:r>
      <w:r>
        <w:rPr>
          <w:rFonts w:hint="eastAsia" w:ascii="仿宋" w:hAnsi="仿宋" w:eastAsia="仿宋"/>
          <w:sz w:val="32"/>
          <w:szCs w:val="32"/>
        </w:rPr>
        <w:t>。主要变动原因是教职工工资收入增加。</w:t>
      </w:r>
    </w:p>
    <w:p w14:paraId="63F195B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6099A92">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537845</wp:posOffset>
            </wp:positionH>
            <wp:positionV relativeFrom="paragraph">
              <wp:posOffset>84455</wp:posOffset>
            </wp:positionV>
            <wp:extent cx="4572000" cy="2743200"/>
            <wp:effectExtent l="4445" t="4445" r="14605" b="14605"/>
            <wp:wrapTopAndBottom/>
            <wp:docPr id="104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97BAE00">
      <w:pPr>
        <w:pStyle w:val="26"/>
        <w:numPr>
          <w:ilvl w:val="0"/>
          <w:numId w:val="2"/>
        </w:numPr>
        <w:spacing w:line="600" w:lineRule="exact"/>
        <w:ind w:firstLineChars="0"/>
        <w:outlineLvl w:val="1"/>
        <w:rPr>
          <w:rStyle w:val="28"/>
          <w:rFonts w:hint="eastAsia" w:ascii="黑体" w:hAnsi="黑体" w:eastAsia="黑体"/>
          <w:b w:val="0"/>
        </w:rPr>
      </w:pPr>
      <w:bookmarkStart w:id="42" w:name="_Toc176813737"/>
      <w:bookmarkStart w:id="43" w:name="_Toc15377206"/>
      <w:bookmarkStart w:id="44" w:name="_Toc15396604"/>
      <w:r>
        <w:rPr>
          <w:rFonts w:hint="eastAsia" w:ascii="黑体" w:hAnsi="黑体" w:eastAsia="黑体"/>
          <w:sz w:val="32"/>
          <w:szCs w:val="32"/>
        </w:rPr>
        <w:t>收</w:t>
      </w:r>
      <w:r>
        <w:rPr>
          <w:rStyle w:val="28"/>
          <w:rFonts w:hint="eastAsia" w:ascii="黑体" w:hAnsi="黑体" w:eastAsia="黑体"/>
          <w:b w:val="0"/>
        </w:rPr>
        <w:t>入决算情况说明</w:t>
      </w:r>
      <w:bookmarkEnd w:id="42"/>
      <w:bookmarkEnd w:id="43"/>
      <w:bookmarkEnd w:id="44"/>
    </w:p>
    <w:p w14:paraId="18CF2379">
      <w:pPr>
        <w:spacing w:line="600" w:lineRule="exact"/>
        <w:ind w:firstLine="640" w:firstLineChars="200"/>
        <w:outlineLvl w:val="1"/>
        <w:rPr>
          <w:rFonts w:hint="eastAsia" w:ascii="仿宋" w:hAnsi="仿宋" w:eastAsia="仿宋"/>
          <w:sz w:val="32"/>
          <w:szCs w:val="32"/>
        </w:rPr>
      </w:pPr>
      <w:bookmarkStart w:id="45" w:name="_Toc176813738"/>
      <w:r>
        <w:rPr>
          <w:rFonts w:hint="eastAsia" w:ascii="仿宋" w:hAnsi="仿宋" w:eastAsia="仿宋"/>
          <w:sz w:val="32"/>
          <w:szCs w:val="32"/>
        </w:rPr>
        <w:t>2023年度本年收入合计</w:t>
      </w:r>
      <w:r>
        <w:rPr>
          <w:rFonts w:ascii="仿宋" w:hAnsi="仿宋" w:eastAsia="仿宋"/>
          <w:b/>
          <w:sz w:val="32"/>
          <w:szCs w:val="32"/>
        </w:rPr>
        <w:t>823.48</w:t>
      </w:r>
      <w:r>
        <w:rPr>
          <w:rFonts w:hint="eastAsia" w:ascii="仿宋" w:hAnsi="仿宋" w:eastAsia="仿宋"/>
          <w:sz w:val="32"/>
          <w:szCs w:val="32"/>
        </w:rPr>
        <w:t>万元，其中：一般公共预算财政拨款收入</w:t>
      </w:r>
      <w:r>
        <w:rPr>
          <w:rFonts w:ascii="仿宋" w:hAnsi="仿宋" w:eastAsia="仿宋"/>
          <w:b/>
          <w:sz w:val="32"/>
          <w:szCs w:val="32"/>
        </w:rPr>
        <w:t>823.48</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45"/>
    </w:p>
    <w:p w14:paraId="0F95F6E9">
      <w:pPr>
        <w:spacing w:line="600" w:lineRule="exact"/>
        <w:ind w:firstLine="420" w:firstLineChars="200"/>
        <w:outlineLvl w:val="1"/>
        <w:rPr>
          <w:rFonts w:hint="eastAsia" w:ascii="仿宋" w:hAnsi="仿宋" w:eastAsia="仿宋"/>
          <w:sz w:val="32"/>
          <w:szCs w:val="32"/>
        </w:rPr>
      </w:pPr>
      <w:bookmarkStart w:id="46" w:name="_Toc176813739"/>
      <w:r>
        <w:drawing>
          <wp:anchor distT="0" distB="0" distL="114300" distR="114300" simplePos="0" relativeHeight="251660288" behindDoc="0" locked="0" layoutInCell="1" allowOverlap="1">
            <wp:simplePos x="0" y="0"/>
            <wp:positionH relativeFrom="column">
              <wp:posOffset>575945</wp:posOffset>
            </wp:positionH>
            <wp:positionV relativeFrom="paragraph">
              <wp:posOffset>109220</wp:posOffset>
            </wp:positionV>
            <wp:extent cx="4572000" cy="2819400"/>
            <wp:effectExtent l="4445" t="4445" r="14605" b="14605"/>
            <wp:wrapTopAndBottom/>
            <wp:docPr id="20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bookmarkEnd w:id="46"/>
    </w:p>
    <w:p w14:paraId="072E01D2">
      <w:pPr>
        <w:pStyle w:val="26"/>
        <w:numPr>
          <w:ilvl w:val="0"/>
          <w:numId w:val="2"/>
        </w:numPr>
        <w:spacing w:line="600" w:lineRule="exact"/>
        <w:ind w:firstLineChars="0"/>
        <w:outlineLvl w:val="1"/>
        <w:rPr>
          <w:rStyle w:val="28"/>
          <w:rFonts w:hint="eastAsia" w:ascii="黑体" w:hAnsi="黑体" w:eastAsia="黑体"/>
          <w:b w:val="0"/>
        </w:rPr>
      </w:pPr>
      <w:bookmarkStart w:id="47" w:name="_Toc176813740"/>
      <w:bookmarkStart w:id="48" w:name="_Toc15396605"/>
      <w:bookmarkStart w:id="49" w:name="_Toc15377207"/>
      <w:r>
        <w:rPr>
          <w:rFonts w:hint="eastAsia" w:ascii="黑体" w:hAnsi="黑体" w:eastAsia="黑体"/>
          <w:sz w:val="32"/>
          <w:szCs w:val="32"/>
        </w:rPr>
        <w:t>支</w:t>
      </w:r>
      <w:r>
        <w:rPr>
          <w:rStyle w:val="28"/>
          <w:rFonts w:hint="eastAsia" w:ascii="黑体" w:hAnsi="黑体" w:eastAsia="黑体"/>
          <w:b w:val="0"/>
        </w:rPr>
        <w:t>出决算情况说明</w:t>
      </w:r>
      <w:bookmarkEnd w:id="47"/>
      <w:bookmarkEnd w:id="48"/>
      <w:bookmarkEnd w:id="49"/>
    </w:p>
    <w:p w14:paraId="0B08791C">
      <w:pPr>
        <w:spacing w:line="600" w:lineRule="exact"/>
        <w:ind w:firstLine="640" w:firstLineChars="200"/>
        <w:outlineLvl w:val="1"/>
        <w:rPr>
          <w:rFonts w:hint="eastAsia" w:ascii="仿宋" w:hAnsi="仿宋" w:eastAsia="仿宋"/>
          <w:sz w:val="32"/>
          <w:szCs w:val="32"/>
        </w:rPr>
      </w:pPr>
      <w:bookmarkStart w:id="50" w:name="_Toc176813741"/>
      <w:r>
        <w:rPr>
          <w:rFonts w:hint="eastAsia" w:ascii="仿宋" w:hAnsi="仿宋" w:eastAsia="仿宋"/>
          <w:sz w:val="32"/>
          <w:szCs w:val="32"/>
        </w:rPr>
        <w:t>2023年度本年支出合计</w:t>
      </w:r>
      <w:r>
        <w:rPr>
          <w:rFonts w:ascii="仿宋" w:hAnsi="仿宋" w:eastAsia="仿宋"/>
          <w:b/>
          <w:sz w:val="32"/>
          <w:szCs w:val="32"/>
        </w:rPr>
        <w:t>823.48</w:t>
      </w:r>
      <w:r>
        <w:rPr>
          <w:rFonts w:hint="eastAsia" w:ascii="仿宋" w:hAnsi="仿宋" w:eastAsia="仿宋"/>
          <w:sz w:val="32"/>
          <w:szCs w:val="32"/>
        </w:rPr>
        <w:t>万元，其中：基本支出</w:t>
      </w:r>
      <w:r>
        <w:rPr>
          <w:rFonts w:ascii="仿宋" w:hAnsi="仿宋" w:eastAsia="仿宋"/>
          <w:b/>
          <w:sz w:val="32"/>
          <w:szCs w:val="32"/>
        </w:rPr>
        <w:t>818.87</w:t>
      </w:r>
      <w:r>
        <w:rPr>
          <w:rFonts w:hint="eastAsia" w:ascii="仿宋" w:hAnsi="仿宋" w:eastAsia="仿宋"/>
          <w:sz w:val="32"/>
          <w:szCs w:val="32"/>
        </w:rPr>
        <w:t>万元，占</w:t>
      </w:r>
      <w:r>
        <w:rPr>
          <w:rFonts w:ascii="仿宋" w:hAnsi="仿宋" w:eastAsia="仿宋"/>
          <w:b/>
          <w:sz w:val="32"/>
          <w:szCs w:val="32"/>
        </w:rPr>
        <w:t>99.43</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4.62</w:t>
      </w:r>
      <w:r>
        <w:rPr>
          <w:rFonts w:hint="eastAsia" w:ascii="仿宋" w:hAnsi="仿宋" w:eastAsia="仿宋"/>
          <w:sz w:val="32"/>
          <w:szCs w:val="32"/>
        </w:rPr>
        <w:t>万元，占</w:t>
      </w:r>
      <w:r>
        <w:rPr>
          <w:rFonts w:ascii="仿宋" w:hAnsi="仿宋" w:eastAsia="仿宋"/>
          <w:b/>
          <w:sz w:val="32"/>
          <w:szCs w:val="32"/>
        </w:rPr>
        <w:t>0.56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50"/>
    </w:p>
    <w:p w14:paraId="106CD3B8">
      <w:pPr>
        <w:spacing w:line="600" w:lineRule="exact"/>
        <w:ind w:firstLine="640"/>
        <w:rPr>
          <w:rFonts w:hint="eastAsia" w:ascii="仿宋" w:hAnsi="仿宋" w:eastAsia="仿宋"/>
          <w:sz w:val="32"/>
          <w:szCs w:val="32"/>
          <w:shd w:val="pct10" w:color="auto" w:fill="FFFFFF"/>
        </w:rPr>
      </w:pPr>
    </w:p>
    <w:p w14:paraId="23402F9E">
      <w:pPr>
        <w:spacing w:line="600" w:lineRule="exact"/>
        <w:ind w:firstLine="640"/>
        <w:rPr>
          <w:rFonts w:hint="eastAsia" w:ascii="仿宋" w:hAnsi="仿宋" w:eastAsia="仿宋"/>
          <w:sz w:val="32"/>
          <w:szCs w:val="32"/>
          <w:shd w:val="pct10" w:color="auto" w:fill="FFFFFF"/>
        </w:rPr>
      </w:pPr>
      <w:r>
        <w:drawing>
          <wp:anchor distT="0" distB="0" distL="114300" distR="114300" simplePos="0" relativeHeight="251661312" behindDoc="0" locked="0" layoutInCell="1" allowOverlap="1">
            <wp:simplePos x="0" y="0"/>
            <wp:positionH relativeFrom="column">
              <wp:posOffset>1020445</wp:posOffset>
            </wp:positionH>
            <wp:positionV relativeFrom="paragraph">
              <wp:posOffset>350520</wp:posOffset>
            </wp:positionV>
            <wp:extent cx="4353560" cy="2105025"/>
            <wp:effectExtent l="5080" t="4445" r="22860" b="5080"/>
            <wp:wrapTopAndBottom/>
            <wp:docPr id="30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06F8D0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14:paraId="0282FE99">
      <w:pPr>
        <w:spacing w:line="600" w:lineRule="exact"/>
        <w:ind w:firstLine="640" w:firstLineChars="200"/>
        <w:outlineLvl w:val="1"/>
        <w:rPr>
          <w:rStyle w:val="28"/>
          <w:rFonts w:hint="eastAsia" w:ascii="黑体" w:hAnsi="黑体" w:eastAsia="黑体"/>
          <w:b w:val="0"/>
        </w:rPr>
      </w:pPr>
      <w:bookmarkStart w:id="51" w:name="_Toc176813742"/>
      <w:bookmarkStart w:id="52" w:name="_Toc15396606"/>
      <w:bookmarkStart w:id="53"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51"/>
      <w:bookmarkEnd w:id="52"/>
      <w:bookmarkEnd w:id="53"/>
    </w:p>
    <w:p w14:paraId="766DE329">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823.48</w:t>
      </w:r>
      <w:r>
        <w:rPr>
          <w:rFonts w:hint="eastAsia" w:ascii="仿宋" w:hAnsi="仿宋" w:eastAsia="仿宋"/>
          <w:sz w:val="32"/>
          <w:szCs w:val="32"/>
        </w:rPr>
        <w:t>万元。与2022年度相比，财政拨款收、支总计各增加2.73万元，增长1.00</w:t>
      </w:r>
      <w:r>
        <w:rPr>
          <w:rFonts w:ascii="仿宋" w:hAnsi="仿宋" w:eastAsia="仿宋"/>
          <w:sz w:val="32"/>
          <w:szCs w:val="32"/>
        </w:rPr>
        <w:t>%</w:t>
      </w:r>
      <w:r>
        <w:rPr>
          <w:rFonts w:hint="eastAsia" w:ascii="仿宋" w:hAnsi="仿宋" w:eastAsia="仿宋"/>
          <w:sz w:val="32"/>
          <w:szCs w:val="32"/>
        </w:rPr>
        <w:t>。主要变动原因是教职工工资收入增加。</w:t>
      </w:r>
    </w:p>
    <w:p w14:paraId="3E989F6A">
      <w:pPr>
        <w:spacing w:line="600" w:lineRule="exact"/>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756920</wp:posOffset>
            </wp:positionH>
            <wp:positionV relativeFrom="paragraph">
              <wp:posOffset>347345</wp:posOffset>
            </wp:positionV>
            <wp:extent cx="4571365" cy="2743200"/>
            <wp:effectExtent l="4445" t="4445" r="15240" b="14605"/>
            <wp:wrapTopAndBottom/>
            <wp:docPr id="41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14:paraId="00288499">
      <w:pPr>
        <w:spacing w:line="600" w:lineRule="exact"/>
        <w:ind w:firstLine="640" w:firstLineChars="200"/>
        <w:outlineLvl w:val="1"/>
        <w:rPr>
          <w:rStyle w:val="28"/>
          <w:rFonts w:hint="eastAsia" w:ascii="黑体" w:hAnsi="黑体" w:eastAsia="黑体"/>
          <w:b w:val="0"/>
        </w:rPr>
      </w:pPr>
      <w:bookmarkStart w:id="54" w:name="_Toc15396607"/>
      <w:bookmarkStart w:id="55" w:name="_Toc176813743"/>
      <w:bookmarkStart w:id="56"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54"/>
      <w:bookmarkEnd w:id="55"/>
      <w:bookmarkEnd w:id="56"/>
    </w:p>
    <w:p w14:paraId="2D7381F4">
      <w:pPr>
        <w:spacing w:line="600" w:lineRule="exact"/>
        <w:ind w:firstLine="643" w:firstLineChars="200"/>
        <w:outlineLvl w:val="2"/>
        <w:rPr>
          <w:rFonts w:hint="eastAsia" w:ascii="仿宋" w:hAnsi="仿宋" w:eastAsia="仿宋"/>
          <w:b/>
          <w:sz w:val="32"/>
          <w:szCs w:val="32"/>
        </w:rPr>
      </w:pPr>
      <w:bookmarkStart w:id="57" w:name="_Toc176813744"/>
      <w:bookmarkStart w:id="58" w:name="_Toc15377210"/>
      <w:r>
        <w:rPr>
          <w:rFonts w:hint="eastAsia" w:ascii="仿宋" w:hAnsi="仿宋" w:eastAsia="仿宋"/>
          <w:b/>
          <w:sz w:val="32"/>
          <w:szCs w:val="32"/>
        </w:rPr>
        <w:t>（一）一般公共预算财政拨款支出决算总体情况</w:t>
      </w:r>
      <w:bookmarkEnd w:id="57"/>
      <w:bookmarkEnd w:id="58"/>
    </w:p>
    <w:p w14:paraId="434D331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823.48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。与2022年度相比，一般公共预算财政拨款支出增加2.73万元，增长1.00</w:t>
      </w:r>
      <w:r>
        <w:rPr>
          <w:rFonts w:ascii="仿宋" w:hAnsi="仿宋" w:eastAsia="仿宋"/>
          <w:sz w:val="32"/>
          <w:szCs w:val="32"/>
        </w:rPr>
        <w:t>%</w:t>
      </w:r>
      <w:r>
        <w:rPr>
          <w:rFonts w:hint="eastAsia" w:ascii="仿宋" w:hAnsi="仿宋" w:eastAsia="仿宋"/>
          <w:sz w:val="32"/>
          <w:szCs w:val="32"/>
        </w:rPr>
        <w:t>。主要变动原因是教职工工资收入增加。</w:t>
      </w:r>
    </w:p>
    <w:p w14:paraId="03AE3CE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4E63E05B">
      <w:pPr>
        <w:spacing w:line="600" w:lineRule="exact"/>
        <w:ind w:firstLine="640" w:firstLineChars="200"/>
        <w:rPr>
          <w:rFonts w:hint="eastAsia" w:ascii="仿宋" w:hAnsi="仿宋" w:eastAsia="仿宋"/>
          <w:sz w:val="32"/>
          <w:szCs w:val="32"/>
        </w:rPr>
      </w:pPr>
    </w:p>
    <w:p w14:paraId="68A2ECDB">
      <w:pPr>
        <w:spacing w:line="600" w:lineRule="exact"/>
        <w:ind w:firstLine="640" w:firstLineChars="200"/>
        <w:rPr>
          <w:rFonts w:hint="eastAsia" w:ascii="仿宋" w:hAnsi="仿宋" w:eastAsia="仿宋"/>
          <w:sz w:val="32"/>
          <w:szCs w:val="32"/>
        </w:rPr>
      </w:pPr>
    </w:p>
    <w:p w14:paraId="4D6579AE">
      <w:pPr>
        <w:spacing w:line="600" w:lineRule="exact"/>
        <w:ind w:firstLine="640" w:firstLineChars="200"/>
        <w:rPr>
          <w:rFonts w:hint="eastAsia" w:ascii="仿宋" w:hAnsi="仿宋" w:eastAsia="仿宋"/>
          <w:sz w:val="32"/>
          <w:szCs w:val="32"/>
        </w:rPr>
      </w:pPr>
    </w:p>
    <w:p w14:paraId="48F9E62C">
      <w:pPr>
        <w:spacing w:line="600" w:lineRule="exact"/>
        <w:ind w:firstLine="420" w:firstLineChars="200"/>
        <w:rPr>
          <w:rFonts w:hint="eastAsia"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414020</wp:posOffset>
            </wp:positionH>
            <wp:positionV relativeFrom="paragraph">
              <wp:posOffset>194945</wp:posOffset>
            </wp:positionV>
            <wp:extent cx="5436235" cy="2743835"/>
            <wp:effectExtent l="4445" t="4445" r="7620" b="13970"/>
            <wp:wrapTopAndBottom/>
            <wp:docPr id="51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59" w:name="_Toc15377211"/>
      <w:r>
        <w:rPr>
          <w:rFonts w:hint="eastAsia" w:ascii="仿宋" w:hAnsi="仿宋" w:eastAsia="仿宋"/>
          <w:b/>
          <w:sz w:val="32"/>
          <w:szCs w:val="32"/>
        </w:rPr>
        <w:t>（二）一般公共预算财政拨款支出决算结构情况</w:t>
      </w:r>
      <w:bookmarkEnd w:id="59"/>
    </w:p>
    <w:p w14:paraId="35FFF748">
      <w:pPr>
        <w:spacing w:line="600" w:lineRule="exact"/>
        <w:ind w:firstLine="640"/>
        <w:rPr>
          <w:rFonts w:hint="eastAsia" w:ascii="仿宋" w:hAnsi="仿宋" w:eastAsia="仿宋"/>
          <w:b/>
          <w:sz w:val="32"/>
          <w:szCs w:val="32"/>
        </w:rPr>
      </w:pPr>
      <w:r>
        <w:drawing>
          <wp:anchor distT="0" distB="0" distL="114300" distR="114300" simplePos="0" relativeHeight="251664384" behindDoc="0" locked="0" layoutInCell="1" allowOverlap="1">
            <wp:simplePos x="0" y="0"/>
            <wp:positionH relativeFrom="column">
              <wp:posOffset>661670</wp:posOffset>
            </wp:positionH>
            <wp:positionV relativeFrom="paragraph">
              <wp:posOffset>2461895</wp:posOffset>
            </wp:positionV>
            <wp:extent cx="4570095" cy="2742565"/>
            <wp:effectExtent l="4445" t="4445" r="16510" b="15240"/>
            <wp:wrapTopAndBottom/>
            <wp:docPr id="615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2023年度一般公共预算财政拨款支出</w:t>
      </w:r>
      <w:r>
        <w:rPr>
          <w:rFonts w:ascii="仿宋" w:hAnsi="仿宋" w:eastAsia="仿宋"/>
          <w:b/>
          <w:sz w:val="32"/>
          <w:szCs w:val="32"/>
        </w:rPr>
        <w:t>823.48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635.62万元，占77.19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100.56万元，占12.21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30.62万元，占3.72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52.06万元，占6.32</w:t>
      </w:r>
      <w:r>
        <w:rPr>
          <w:rFonts w:ascii="仿宋" w:hAnsi="仿宋" w:eastAsia="仿宋"/>
          <w:sz w:val="32"/>
          <w:szCs w:val="32"/>
        </w:rPr>
        <w:t>%</w:t>
      </w:r>
      <w:r>
        <w:rPr>
          <w:rFonts w:hint="eastAsia" w:ascii="仿宋" w:hAnsi="仿宋" w:eastAsia="仿宋"/>
          <w:sz w:val="32"/>
          <w:szCs w:val="32"/>
        </w:rPr>
        <w:t>；</w:t>
      </w:r>
      <w:r>
        <w:rPr>
          <w:rFonts w:hint="eastAsia" w:hAnsi="仿宋_GB2312"/>
          <w:b/>
          <w:bCs/>
          <w:color w:val="000000"/>
          <w:sz w:val="32"/>
          <w:lang w:val="zh-CN"/>
        </w:rPr>
        <w:t>农林水支出</w:t>
      </w:r>
      <w:r>
        <w:rPr>
          <w:rFonts w:hint="eastAsia" w:hAnsi="仿宋_GB2312"/>
          <w:color w:val="000000"/>
          <w:sz w:val="32"/>
        </w:rPr>
        <w:t>4.62</w:t>
      </w:r>
      <w:r>
        <w:rPr>
          <w:rFonts w:hint="eastAsia" w:hAnsi="仿宋_GB2312"/>
          <w:color w:val="000000"/>
          <w:sz w:val="32"/>
          <w:lang w:val="zh-CN"/>
        </w:rPr>
        <w:t>万元，占0.</w:t>
      </w:r>
      <w:r>
        <w:rPr>
          <w:rFonts w:hint="eastAsia" w:hAnsi="仿宋_GB2312"/>
          <w:color w:val="000000"/>
          <w:sz w:val="32"/>
        </w:rPr>
        <w:t>56</w:t>
      </w:r>
      <w:r>
        <w:rPr>
          <w:rFonts w:hint="eastAsia" w:hAnsi="仿宋_GB2312"/>
          <w:color w:val="000000"/>
          <w:sz w:val="32"/>
          <w:lang w:val="zh-CN"/>
        </w:rPr>
        <w:t>%</w:t>
      </w:r>
      <w:r>
        <w:rPr>
          <w:rFonts w:hint="eastAsia" w:ascii="仿宋" w:hAnsi="仿宋" w:eastAsia="仿宋"/>
          <w:sz w:val="32"/>
          <w:szCs w:val="32"/>
        </w:rPr>
        <w:t>。</w:t>
      </w:r>
    </w:p>
    <w:p w14:paraId="1DC5090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2AF75B9C">
      <w:pPr>
        <w:spacing w:line="600" w:lineRule="exact"/>
        <w:ind w:firstLine="643" w:firstLineChars="200"/>
        <w:outlineLvl w:val="2"/>
        <w:rPr>
          <w:rFonts w:hint="eastAsia" w:ascii="仿宋" w:hAnsi="仿宋" w:eastAsia="仿宋"/>
          <w:b/>
          <w:sz w:val="32"/>
          <w:szCs w:val="32"/>
        </w:rPr>
      </w:pPr>
      <w:bookmarkStart w:id="60" w:name="_Toc176813745"/>
      <w:bookmarkStart w:id="61" w:name="_Toc15377212"/>
      <w:r>
        <w:rPr>
          <w:rFonts w:hint="eastAsia" w:ascii="仿宋" w:hAnsi="仿宋" w:eastAsia="仿宋"/>
          <w:b/>
          <w:sz w:val="32"/>
          <w:szCs w:val="32"/>
        </w:rPr>
        <w:t>（三）一般公共预算财政拨款支出决算具体情况</w:t>
      </w:r>
      <w:bookmarkEnd w:id="60"/>
      <w:bookmarkEnd w:id="61"/>
    </w:p>
    <w:p w14:paraId="6E8226E4">
      <w:pPr>
        <w:spacing w:line="600" w:lineRule="exact"/>
        <w:ind w:firstLine="643" w:firstLineChars="200"/>
        <w:outlineLvl w:val="2"/>
        <w:rPr>
          <w:rFonts w:hint="eastAsia" w:ascii="仿宋" w:hAnsi="仿宋" w:eastAsia="仿宋"/>
          <w:sz w:val="32"/>
          <w:szCs w:val="32"/>
        </w:rPr>
      </w:pPr>
      <w:bookmarkStart w:id="62" w:name="_Toc176813746"/>
      <w:bookmarkStart w:id="63" w:name="_Toc15377444"/>
      <w:bookmarkStart w:id="64" w:name="_Toc15377213"/>
      <w:bookmarkStart w:id="65" w:name="_Toc15378460"/>
      <w:r>
        <w:rPr>
          <w:rFonts w:hint="eastAsia" w:ascii="仿宋" w:hAnsi="仿宋" w:eastAsia="仿宋"/>
          <w:b/>
          <w:sz w:val="32"/>
          <w:szCs w:val="32"/>
        </w:rPr>
        <w:t>2023年度一般公共预算支出决算数为</w:t>
      </w:r>
      <w:r>
        <w:rPr>
          <w:rFonts w:ascii="仿宋" w:hAnsi="仿宋" w:eastAsia="仿宋"/>
          <w:b/>
          <w:sz w:val="32"/>
          <w:szCs w:val="32"/>
        </w:rPr>
        <w:t>823.48</w:t>
      </w:r>
      <w:r>
        <w:rPr>
          <w:rFonts w:hint="eastAsia" w:ascii="仿宋" w:hAnsi="仿宋" w:eastAsia="仿宋"/>
          <w:b/>
          <w:sz w:val="32"/>
          <w:szCs w:val="32"/>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62"/>
      <w:bookmarkEnd w:id="63"/>
      <w:bookmarkEnd w:id="64"/>
      <w:bookmarkEnd w:id="65"/>
    </w:p>
    <w:p w14:paraId="121AF403">
      <w:pPr>
        <w:spacing w:line="600" w:lineRule="exact"/>
        <w:ind w:firstLine="640"/>
        <w:rPr>
          <w:rStyle w:val="17"/>
          <w:rFonts w:hint="eastAsia" w:ascii="仿宋" w:hAnsi="仿宋" w:eastAsia="仿宋"/>
          <w:b w:val="0"/>
          <w:sz w:val="32"/>
        </w:rPr>
      </w:pPr>
      <w:r>
        <w:rPr>
          <w:rFonts w:hint="eastAsia" w:ascii="仿宋_GB2312" w:hAnsi="仿宋_GB2312" w:eastAsia="仿宋_GB2312"/>
          <w:b/>
          <w:color w:val="000000"/>
          <w:sz w:val="32"/>
        </w:rPr>
        <w:t>1.</w:t>
      </w:r>
      <w:r>
        <w:rPr>
          <w:rStyle w:val="17"/>
          <w:rFonts w:hint="eastAsia" w:ascii="仿宋" w:hAnsi="仿宋" w:eastAsia="仿宋" w:cstheme="minorBidi"/>
          <w:bCs/>
          <w:sz w:val="32"/>
          <w:szCs w:val="32"/>
        </w:rPr>
        <w:t>教育支出（类）普通教育（款）小学教育（项）</w:t>
      </w:r>
      <w:r>
        <w:rPr>
          <w:rStyle w:val="17"/>
          <w:rFonts w:hint="eastAsia" w:ascii="仿宋" w:hAnsi="仿宋" w:eastAsia="仿宋" w:cstheme="minorBidi"/>
          <w:bCs/>
          <w:sz w:val="32"/>
          <w:szCs w:val="32"/>
          <w:lang w:eastAsia="zh-CN"/>
        </w:rPr>
        <w:t>：</w:t>
      </w:r>
      <w:r>
        <w:rPr>
          <w:rFonts w:hint="eastAsia" w:ascii="仿宋" w:hAnsi="仿宋" w:eastAsia="仿宋"/>
          <w:sz w:val="32"/>
        </w:rPr>
        <w:t>支出决算为635.62万元，完成预算100%，</w:t>
      </w:r>
      <w:r>
        <w:rPr>
          <w:rStyle w:val="17"/>
          <w:rFonts w:hint="eastAsia" w:ascii="仿宋" w:hAnsi="仿宋" w:eastAsia="仿宋"/>
          <w:b w:val="0"/>
          <w:sz w:val="32"/>
        </w:rPr>
        <w:t>按预算执行。</w:t>
      </w:r>
    </w:p>
    <w:p w14:paraId="2F0FE23F">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2.</w:t>
      </w:r>
      <w:r>
        <w:rPr>
          <w:rStyle w:val="17"/>
          <w:rFonts w:hint="eastAsia" w:ascii="仿宋" w:hAnsi="仿宋" w:eastAsia="仿宋"/>
          <w:bCs/>
          <w:color w:val="000000"/>
          <w:sz w:val="32"/>
          <w:szCs w:val="32"/>
        </w:rPr>
        <w:t>社会保障和就业支出（类）行政事业单位养老支出（款）事业单位离退休（项）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支出决算为28.89万元，完成预算100%。</w:t>
      </w:r>
    </w:p>
    <w:p w14:paraId="0F67457C">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3.</w:t>
      </w:r>
      <w:r>
        <w:rPr>
          <w:rStyle w:val="17"/>
          <w:rFonts w:hint="eastAsia" w:ascii="仿宋" w:hAnsi="仿宋" w:eastAsia="仿宋"/>
          <w:bCs/>
          <w:color w:val="000000"/>
          <w:sz w:val="32"/>
          <w:szCs w:val="32"/>
        </w:rPr>
        <w:t>社会保障和就业支出（类）行政事业单位养老支出（款）机关事业单位基本养老保险缴费支出（项）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支出决算为63.85万元，完成预算100%。</w:t>
      </w:r>
    </w:p>
    <w:p w14:paraId="07E15B2D">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4.</w:t>
      </w:r>
      <w:r>
        <w:rPr>
          <w:rStyle w:val="17"/>
          <w:rFonts w:hint="eastAsia" w:ascii="仿宋" w:hAnsi="仿宋" w:eastAsia="仿宋"/>
          <w:bCs/>
          <w:color w:val="000000"/>
          <w:sz w:val="32"/>
          <w:szCs w:val="32"/>
        </w:rPr>
        <w:t>社会保障和就业支出（类）其他社会保障和就业支出（款）其他社会保障和就业支出（项）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支出决算为7.82万元，完成预算100%。</w:t>
      </w:r>
    </w:p>
    <w:p w14:paraId="6B737881">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5.卫生健康支出</w:t>
      </w:r>
      <w:r>
        <w:rPr>
          <w:rStyle w:val="17"/>
          <w:rFonts w:hint="eastAsia" w:ascii="仿宋" w:hAnsi="仿宋" w:eastAsia="仿宋"/>
          <w:bCs/>
          <w:sz w:val="32"/>
          <w:szCs w:val="32"/>
        </w:rPr>
        <w:t>（类）行政事业单位医疗（款）事业单位医疗（项）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支出决算为26.34万元，完成预算100%。</w:t>
      </w:r>
    </w:p>
    <w:p w14:paraId="47E2DEAE">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6.卫生健康支出</w:t>
      </w:r>
      <w:r>
        <w:rPr>
          <w:rStyle w:val="17"/>
          <w:rFonts w:hint="eastAsia" w:ascii="仿宋" w:hAnsi="仿宋" w:eastAsia="仿宋"/>
          <w:bCs/>
          <w:sz w:val="32"/>
          <w:szCs w:val="32"/>
        </w:rPr>
        <w:t>（类）行政事业单位医疗（款）其他行政事业单位医疗支出（项）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支出决算为4.28万元，完成预算100%。</w:t>
      </w:r>
    </w:p>
    <w:p w14:paraId="65858FC0">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7.</w:t>
      </w:r>
      <w:r>
        <w:rPr>
          <w:rStyle w:val="17"/>
          <w:rFonts w:hint="eastAsia" w:ascii="仿宋" w:hAnsi="仿宋" w:eastAsia="仿宋"/>
          <w:bCs/>
          <w:sz w:val="32"/>
          <w:szCs w:val="32"/>
        </w:rPr>
        <w:t>农林水支出（类）巩固脱贫衔接乡村振兴（款）社会发展（项）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支出决算为4.62万元，完成预算100%。</w:t>
      </w:r>
    </w:p>
    <w:p w14:paraId="4FE8B116">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8.</w:t>
      </w:r>
      <w:r>
        <w:rPr>
          <w:rFonts w:hint="eastAsia" w:ascii="仿宋" w:hAnsi="仿宋" w:eastAsia="仿宋"/>
          <w:b/>
          <w:bCs/>
          <w:color w:val="000000"/>
          <w:sz w:val="32"/>
          <w:szCs w:val="32"/>
        </w:rPr>
        <w:t>住房保障支出</w:t>
      </w:r>
      <w:r>
        <w:rPr>
          <w:rStyle w:val="17"/>
          <w:rFonts w:hint="eastAsia" w:ascii="仿宋" w:hAnsi="仿宋" w:eastAsia="仿宋"/>
          <w:bCs/>
          <w:color w:val="000000"/>
          <w:sz w:val="32"/>
          <w:szCs w:val="32"/>
        </w:rPr>
        <w:t>（类）住房改革支出（款）住房公积金（项）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支出决算为52.06万元，完成预算100%。</w:t>
      </w:r>
    </w:p>
    <w:p w14:paraId="6B4479EE">
      <w:pPr>
        <w:tabs>
          <w:tab w:val="right" w:pos="8306"/>
        </w:tabs>
        <w:spacing w:line="600" w:lineRule="exact"/>
        <w:ind w:firstLine="640"/>
        <w:outlineLvl w:val="1"/>
        <w:rPr>
          <w:rStyle w:val="28"/>
        </w:rPr>
      </w:pPr>
      <w:bookmarkStart w:id="66" w:name="_Toc176813747"/>
      <w:bookmarkStart w:id="67" w:name="_Toc15377214"/>
      <w:bookmarkStart w:id="6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6"/>
      <w:bookmarkEnd w:id="67"/>
      <w:bookmarkEnd w:id="68"/>
      <w:r>
        <w:rPr>
          <w:rStyle w:val="28"/>
          <w:rFonts w:ascii="黑体" w:hAnsi="黑体" w:eastAsia="黑体"/>
          <w:b w:val="0"/>
        </w:rPr>
        <w:tab/>
      </w:r>
    </w:p>
    <w:p w14:paraId="3D069313">
      <w:pPr>
        <w:spacing w:line="600" w:lineRule="exact"/>
        <w:ind w:firstLine="645"/>
        <w:rPr>
          <w:rFonts w:hint="eastAsia"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818.87</w:t>
      </w:r>
      <w:r>
        <w:rPr>
          <w:rFonts w:hint="eastAsia" w:ascii="仿宋" w:hAnsi="仿宋" w:eastAsia="仿宋"/>
          <w:sz w:val="32"/>
          <w:szCs w:val="32"/>
        </w:rPr>
        <w:t>万元，其中：</w:t>
      </w:r>
    </w:p>
    <w:p w14:paraId="40452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761.6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bookmarkStart w:id="140" w:name="_GoBack"/>
      <w:bookmarkEnd w:id="140"/>
      <w:r>
        <w:rPr>
          <w:rFonts w:hint="eastAsia" w:ascii="仿宋" w:hAnsi="仿宋" w:eastAsia="仿宋"/>
          <w:sz w:val="32"/>
          <w:szCs w:val="32"/>
        </w:rPr>
        <w:t>公用经费</w:t>
      </w:r>
      <w:r>
        <w:rPr>
          <w:rFonts w:ascii="仿宋" w:hAnsi="仿宋" w:eastAsia="仿宋"/>
          <w:b/>
          <w:sz w:val="32"/>
          <w:szCs w:val="32"/>
        </w:rPr>
        <w:t>57.27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95AF1C0">
      <w:pPr>
        <w:spacing w:line="600" w:lineRule="exact"/>
        <w:ind w:firstLine="640"/>
        <w:outlineLvl w:val="1"/>
        <w:rPr>
          <w:rStyle w:val="28"/>
          <w:rFonts w:hint="eastAsia" w:ascii="黑体" w:hAnsi="黑体" w:eastAsia="黑体"/>
          <w:b w:val="0"/>
        </w:rPr>
      </w:pPr>
      <w:bookmarkStart w:id="69" w:name="_Toc176813748"/>
      <w:bookmarkStart w:id="70" w:name="_Toc15396609"/>
      <w:bookmarkStart w:id="7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69"/>
      <w:bookmarkEnd w:id="70"/>
      <w:bookmarkEnd w:id="71"/>
    </w:p>
    <w:p w14:paraId="00F908B4">
      <w:pPr>
        <w:spacing w:line="600" w:lineRule="exact"/>
        <w:ind w:firstLine="640"/>
        <w:outlineLvl w:val="2"/>
        <w:rPr>
          <w:rFonts w:hint="eastAsia" w:ascii="仿宋" w:hAnsi="仿宋" w:eastAsia="仿宋"/>
          <w:b/>
          <w:sz w:val="32"/>
          <w:szCs w:val="32"/>
        </w:rPr>
      </w:pPr>
      <w:bookmarkStart w:id="72" w:name="_Toc15377216"/>
      <w:bookmarkStart w:id="73" w:name="_Toc176813749"/>
      <w:r>
        <w:rPr>
          <w:rFonts w:hint="eastAsia" w:ascii="仿宋" w:hAnsi="仿宋" w:eastAsia="仿宋"/>
          <w:b/>
          <w:sz w:val="32"/>
          <w:szCs w:val="32"/>
        </w:rPr>
        <w:t>（一）“三公”经费财政拨款支出决算总体情况说明</w:t>
      </w:r>
      <w:bookmarkEnd w:id="72"/>
      <w:bookmarkEnd w:id="73"/>
    </w:p>
    <w:p w14:paraId="6CCF8C79">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0.24</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w:t>
      </w:r>
    </w:p>
    <w:p w14:paraId="2E8C0CF7">
      <w:pPr>
        <w:spacing w:line="600" w:lineRule="exact"/>
        <w:ind w:firstLine="640"/>
        <w:outlineLvl w:val="2"/>
        <w:rPr>
          <w:rFonts w:hint="eastAsia" w:ascii="仿宋" w:hAnsi="仿宋" w:eastAsia="仿宋"/>
          <w:b/>
          <w:sz w:val="32"/>
          <w:szCs w:val="32"/>
        </w:rPr>
      </w:pPr>
      <w:bookmarkStart w:id="74" w:name="_Toc15377217"/>
      <w:bookmarkStart w:id="75" w:name="_Toc176813750"/>
      <w:r>
        <w:rPr>
          <w:rFonts w:hint="eastAsia" w:ascii="仿宋" w:hAnsi="仿宋" w:eastAsia="仿宋"/>
          <w:b/>
          <w:sz w:val="32"/>
          <w:szCs w:val="32"/>
        </w:rPr>
        <w:t>（二）“三公”经费财政拨款支出决算具体情况说明</w:t>
      </w:r>
      <w:bookmarkEnd w:id="74"/>
      <w:bookmarkEnd w:id="75"/>
    </w:p>
    <w:p w14:paraId="4DDA2962">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0.24</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58961348">
      <w:pPr>
        <w:pStyle w:val="2"/>
      </w:pPr>
    </w:p>
    <w:p w14:paraId="7FB6DDB0"/>
    <w:p w14:paraId="457283A5">
      <w:pPr>
        <w:pStyle w:val="2"/>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column">
              <wp:posOffset>607060</wp:posOffset>
            </wp:positionH>
            <wp:positionV relativeFrom="paragraph">
              <wp:posOffset>119380</wp:posOffset>
            </wp:positionV>
            <wp:extent cx="4198620" cy="2723515"/>
            <wp:effectExtent l="0" t="0" r="0" b="635"/>
            <wp:wrapTopAndBottom/>
            <wp:docPr id="17746533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3384"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98620" cy="2723515"/>
                    </a:xfrm>
                    <a:prstGeom prst="rect">
                      <a:avLst/>
                    </a:prstGeom>
                    <a:noFill/>
                    <a:ln>
                      <a:noFill/>
                    </a:ln>
                  </pic:spPr>
                </pic:pic>
              </a:graphicData>
            </a:graphic>
          </wp:anchor>
        </w:drawing>
      </w:r>
      <w:r>
        <w:rPr>
          <w:rFonts w:hint="eastAsia" w:ascii="仿宋" w:hAnsi="仿宋" w:eastAsia="仿宋"/>
          <w:sz w:val="32"/>
          <w:szCs w:val="32"/>
        </w:rPr>
        <w:t>（图7：“三公”经费财政拨款支出结构）（饼状图）</w:t>
      </w:r>
    </w:p>
    <w:p w14:paraId="5531321F">
      <w:pPr>
        <w:spacing w:line="600" w:lineRule="exact"/>
        <w:ind w:firstLine="640"/>
        <w:rPr>
          <w:rFonts w:ascii="仿宋_GB2312" w:eastAsia="仿宋_GB2312"/>
          <w:sz w:val="32"/>
          <w:szCs w:val="32"/>
        </w:rPr>
      </w:pPr>
      <w:bookmarkStart w:id="76" w:name="_Toc15396610"/>
      <w:bookmarkStart w:id="7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完成预算10</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5B5CBFA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完成预算10</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1031553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4F9E056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7C412623">
      <w:pPr>
        <w:numPr>
          <w:ilvl w:val="0"/>
          <w:numId w:val="3"/>
        </w:numPr>
        <w:spacing w:line="600" w:lineRule="exact"/>
        <w:ind w:firstLine="640"/>
        <w:rPr>
          <w:rStyle w:val="17"/>
          <w:rFonts w:hint="eastAsia" w:ascii="仿宋" w:hAnsi="仿宋" w:eastAsia="仿宋"/>
          <w:b w:val="0"/>
          <w:bCs/>
          <w:sz w:val="32"/>
          <w:szCs w:val="32"/>
        </w:rPr>
      </w:pPr>
      <w:r>
        <w:rPr>
          <w:rFonts w:hint="eastAsia" w:ascii="仿宋_GB2312" w:eastAsia="仿宋_GB2312"/>
          <w:b/>
          <w:sz w:val="32"/>
          <w:szCs w:val="32"/>
        </w:rPr>
        <w:t>公务接待费支出</w:t>
      </w:r>
      <w:r>
        <w:rPr>
          <w:rFonts w:ascii="仿宋" w:hAnsi="仿宋" w:eastAsia="仿宋"/>
          <w:b/>
          <w:sz w:val="32"/>
          <w:szCs w:val="32"/>
        </w:rPr>
        <w:t>0.24</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主要用于</w:t>
      </w:r>
      <w:r>
        <w:rPr>
          <w:rFonts w:hint="eastAsia" w:ascii="仿宋_GB2312" w:hAnsi="仿宋_GB2312" w:eastAsia="仿宋_GB2312"/>
          <w:color w:val="000000"/>
          <w:sz w:val="32"/>
          <w:lang w:val="zh-CN"/>
        </w:rPr>
        <w:t>接待</w:t>
      </w:r>
      <w:r>
        <w:rPr>
          <w:rFonts w:hint="eastAsia" w:ascii="仿宋_GB2312" w:hAnsi="仿宋_GB2312" w:eastAsia="仿宋_GB2312"/>
          <w:color w:val="000000"/>
          <w:sz w:val="32"/>
        </w:rPr>
        <w:t>上级领导巡视、检查、督导等</w:t>
      </w:r>
      <w:r>
        <w:rPr>
          <w:rStyle w:val="17"/>
          <w:rFonts w:hint="eastAsia" w:ascii="仿宋" w:hAnsi="仿宋" w:eastAsia="仿宋"/>
          <w:b w:val="0"/>
          <w:bCs/>
          <w:sz w:val="32"/>
          <w:szCs w:val="32"/>
        </w:rPr>
        <w:t>。</w:t>
      </w:r>
    </w:p>
    <w:p w14:paraId="6A610CFD">
      <w:pPr>
        <w:numPr>
          <w:ilvl w:val="0"/>
          <w:numId w:val="3"/>
        </w:num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0.24</w:t>
      </w:r>
      <w:r>
        <w:rPr>
          <w:rFonts w:hint="eastAsia" w:ascii="仿宋_GB2312" w:eastAsia="仿宋_GB2312"/>
          <w:sz w:val="32"/>
          <w:szCs w:val="32"/>
        </w:rPr>
        <w:t>万元，主要用于公务用餐费。国内公务接待6批次，60人次（不包括陪同人员），共计支出0.24万元，具体内容包括：</w:t>
      </w:r>
      <w:r>
        <w:rPr>
          <w:rFonts w:hint="eastAsia" w:ascii="仿宋_GB2312" w:hAnsi="仿宋_GB2312" w:eastAsia="仿宋_GB2312"/>
          <w:color w:val="000000"/>
          <w:sz w:val="32"/>
          <w:lang w:val="zh-CN"/>
        </w:rPr>
        <w:t>接待</w:t>
      </w:r>
      <w:r>
        <w:rPr>
          <w:rFonts w:hint="eastAsia" w:ascii="仿宋_GB2312" w:hAnsi="仿宋_GB2312" w:eastAsia="仿宋_GB2312"/>
          <w:color w:val="000000"/>
          <w:sz w:val="32"/>
        </w:rPr>
        <w:t>上级领导巡视、检查、督导等</w:t>
      </w:r>
      <w:r>
        <w:rPr>
          <w:rFonts w:hint="eastAsia" w:ascii="仿宋_GB2312" w:eastAsia="仿宋_GB2312"/>
          <w:sz w:val="32"/>
          <w:szCs w:val="32"/>
        </w:rPr>
        <w:t>0.24万元。</w:t>
      </w:r>
    </w:p>
    <w:p w14:paraId="283C44E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2B2C9A47">
      <w:pPr>
        <w:spacing w:line="600" w:lineRule="exact"/>
        <w:ind w:firstLine="640"/>
        <w:outlineLvl w:val="1"/>
        <w:rPr>
          <w:rStyle w:val="28"/>
          <w:rFonts w:hint="eastAsia" w:ascii="黑体" w:hAnsi="黑体" w:eastAsia="黑体"/>
        </w:rPr>
      </w:pPr>
      <w:bookmarkStart w:id="78" w:name="_Toc176813751"/>
      <w:r>
        <w:rPr>
          <w:rFonts w:hint="eastAsia" w:ascii="黑体" w:eastAsia="黑体"/>
          <w:sz w:val="32"/>
          <w:szCs w:val="32"/>
        </w:rPr>
        <w:t>八、</w:t>
      </w:r>
      <w:r>
        <w:rPr>
          <w:rStyle w:val="28"/>
          <w:rFonts w:hint="eastAsia" w:ascii="黑体" w:hAnsi="黑体" w:eastAsia="黑体"/>
          <w:b w:val="0"/>
        </w:rPr>
        <w:t>政府性基金预算支出决算情况说明</w:t>
      </w:r>
      <w:bookmarkEnd w:id="76"/>
      <w:bookmarkEnd w:id="77"/>
      <w:bookmarkEnd w:id="78"/>
    </w:p>
    <w:p w14:paraId="6927646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7433EED">
      <w:pPr>
        <w:numPr>
          <w:ilvl w:val="0"/>
          <w:numId w:val="4"/>
        </w:numPr>
        <w:spacing w:line="600" w:lineRule="exact"/>
        <w:ind w:firstLine="640"/>
        <w:outlineLvl w:val="1"/>
        <w:rPr>
          <w:rStyle w:val="28"/>
          <w:rFonts w:hint="eastAsia" w:ascii="黑体" w:hAnsi="黑体" w:eastAsia="黑体"/>
          <w:b w:val="0"/>
        </w:rPr>
      </w:pPr>
      <w:bookmarkStart w:id="79" w:name="_Toc15396611"/>
      <w:bookmarkStart w:id="80" w:name="_Toc15377219"/>
      <w:bookmarkStart w:id="81" w:name="_Toc176813752"/>
      <w:r>
        <w:rPr>
          <w:rStyle w:val="28"/>
          <w:rFonts w:hint="eastAsia" w:ascii="黑体" w:hAnsi="黑体" w:eastAsia="黑体"/>
          <w:b w:val="0"/>
        </w:rPr>
        <w:t>国有资本经营预算支出决算情况说明</w:t>
      </w:r>
      <w:bookmarkEnd w:id="79"/>
      <w:bookmarkEnd w:id="80"/>
      <w:bookmarkEnd w:id="81"/>
    </w:p>
    <w:p w14:paraId="59D1C17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EF7FB59">
      <w:pPr>
        <w:numPr>
          <w:ilvl w:val="0"/>
          <w:numId w:val="4"/>
        </w:numPr>
        <w:spacing w:line="600" w:lineRule="exact"/>
        <w:ind w:firstLine="640"/>
        <w:outlineLvl w:val="1"/>
        <w:rPr>
          <w:rStyle w:val="28"/>
          <w:rFonts w:hint="eastAsia" w:ascii="黑体" w:hAnsi="黑体" w:eastAsia="黑体"/>
          <w:b w:val="0"/>
        </w:rPr>
      </w:pPr>
      <w:bookmarkStart w:id="82" w:name="_Toc15377221"/>
      <w:bookmarkStart w:id="83" w:name="_Toc15396612"/>
      <w:bookmarkStart w:id="84" w:name="_Toc176813753"/>
      <w:r>
        <w:rPr>
          <w:rStyle w:val="28"/>
          <w:rFonts w:hint="eastAsia" w:ascii="黑体" w:hAnsi="黑体" w:eastAsia="黑体"/>
          <w:b w:val="0"/>
        </w:rPr>
        <w:t>其他重要事项的情况说明</w:t>
      </w:r>
      <w:bookmarkEnd w:id="82"/>
      <w:bookmarkEnd w:id="83"/>
      <w:bookmarkEnd w:id="84"/>
    </w:p>
    <w:p w14:paraId="6A726E9B">
      <w:pPr>
        <w:spacing w:line="600" w:lineRule="exact"/>
        <w:ind w:firstLine="643" w:firstLineChars="200"/>
        <w:outlineLvl w:val="2"/>
        <w:rPr>
          <w:rFonts w:hint="eastAsia" w:ascii="仿宋" w:hAnsi="仿宋" w:eastAsia="仿宋"/>
          <w:sz w:val="32"/>
          <w:szCs w:val="32"/>
        </w:rPr>
      </w:pPr>
      <w:bookmarkStart w:id="85" w:name="_Toc15377222"/>
      <w:bookmarkStart w:id="86" w:name="_Toc176813754"/>
      <w:r>
        <w:rPr>
          <w:rFonts w:hint="eastAsia" w:ascii="仿宋" w:hAnsi="仿宋" w:eastAsia="仿宋"/>
          <w:b/>
          <w:sz w:val="32"/>
          <w:szCs w:val="32"/>
        </w:rPr>
        <w:t>（一）机关运行经费支出情况</w:t>
      </w:r>
      <w:bookmarkEnd w:id="85"/>
      <w:bookmarkEnd w:id="86"/>
    </w:p>
    <w:p w14:paraId="430A1204">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射洪市复兴镇中心小学校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6D70013A">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87" w:name="_Toc15377223"/>
      <w:bookmarkStart w:id="88" w:name="_Toc176813755"/>
      <w:r>
        <w:rPr>
          <w:rFonts w:hint="eastAsia" w:ascii="仿宋" w:hAnsi="仿宋" w:eastAsia="仿宋"/>
          <w:b/>
          <w:sz w:val="32"/>
          <w:szCs w:val="32"/>
        </w:rPr>
        <w:t>（二）政府采购支出情况</w:t>
      </w:r>
      <w:bookmarkEnd w:id="87"/>
      <w:bookmarkEnd w:id="88"/>
    </w:p>
    <w:p w14:paraId="7CEC03C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射洪市复兴镇中心小学校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67706716">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89" w:name="_Toc15377224"/>
      <w:bookmarkStart w:id="90" w:name="_Toc176813756"/>
      <w:r>
        <w:rPr>
          <w:rFonts w:hint="eastAsia" w:ascii="仿宋" w:hAnsi="仿宋" w:eastAsia="仿宋"/>
          <w:b/>
          <w:sz w:val="32"/>
          <w:szCs w:val="32"/>
        </w:rPr>
        <w:t>（三）国有资产占有使用情况</w:t>
      </w:r>
      <w:bookmarkEnd w:id="89"/>
      <w:bookmarkEnd w:id="90"/>
    </w:p>
    <w:p w14:paraId="5E2FA05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射洪市复兴镇中心小学校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9F5247B">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91" w:name="_Toc176813757"/>
      <w:r>
        <w:rPr>
          <w:rFonts w:hint="eastAsia" w:ascii="仿宋" w:hAnsi="仿宋" w:eastAsia="仿宋"/>
          <w:b/>
          <w:sz w:val="32"/>
          <w:szCs w:val="32"/>
        </w:rPr>
        <w:t>（四）预算绩效管理情况</w:t>
      </w:r>
      <w:bookmarkEnd w:id="91"/>
    </w:p>
    <w:p w14:paraId="44333610">
      <w:pPr>
        <w:tabs>
          <w:tab w:val="right" w:pos="8306"/>
        </w:tabs>
        <w:spacing w:line="600" w:lineRule="exact"/>
        <w:ind w:firstLine="640"/>
        <w:outlineLvl w:val="1"/>
        <w:rPr>
          <w:rFonts w:hint="eastAsia" w:ascii="仿宋" w:hAnsi="仿宋" w:eastAsia="仿宋" w:cs="仿宋_GB2312"/>
          <w:sz w:val="32"/>
          <w:szCs w:val="32"/>
        </w:rPr>
      </w:pPr>
      <w:bookmarkStart w:id="92" w:name="_Hlk176807821"/>
      <w:bookmarkStart w:id="93" w:name="_Toc176813758"/>
      <w:r>
        <w:rPr>
          <w:rFonts w:ascii="仿宋" w:hAnsi="仿宋" w:eastAsia="仿宋" w:cs="仿宋_GB2312"/>
          <w:sz w:val="32"/>
          <w:szCs w:val="32"/>
        </w:rPr>
        <w:t>根据预算绩效管理要求，本单位在2023年度预算编制阶段，组织对教育支出等</w:t>
      </w:r>
      <w:r>
        <w:rPr>
          <w:rFonts w:hint="eastAsia" w:ascii="仿宋" w:hAnsi="仿宋" w:eastAsia="仿宋" w:cs="仿宋_GB2312"/>
          <w:sz w:val="32"/>
          <w:szCs w:val="32"/>
        </w:rPr>
        <w:t>2</w:t>
      </w:r>
      <w:r>
        <w:rPr>
          <w:rFonts w:ascii="仿宋" w:hAnsi="仿宋" w:eastAsia="仿宋" w:cs="仿宋_GB2312"/>
          <w:sz w:val="32"/>
          <w:szCs w:val="32"/>
        </w:rPr>
        <w:t>个项目开展了预算事前绩效评估，对</w:t>
      </w:r>
      <w:r>
        <w:rPr>
          <w:rFonts w:hint="eastAsia" w:ascii="仿宋" w:hAnsi="仿宋" w:eastAsia="仿宋" w:cs="仿宋_GB2312"/>
          <w:sz w:val="32"/>
          <w:szCs w:val="32"/>
        </w:rPr>
        <w:t>2</w:t>
      </w:r>
      <w:r>
        <w:rPr>
          <w:rFonts w:ascii="仿宋" w:hAnsi="仿宋" w:eastAsia="仿宋" w:cs="仿宋_GB2312"/>
          <w:sz w:val="32"/>
          <w:szCs w:val="32"/>
        </w:rPr>
        <w:t>个项目编制了绩效目标，预算执行过程中，选取</w:t>
      </w:r>
      <w:r>
        <w:rPr>
          <w:rFonts w:hint="eastAsia" w:ascii="仿宋" w:hAnsi="仿宋" w:eastAsia="仿宋" w:cs="仿宋_GB2312"/>
          <w:sz w:val="32"/>
          <w:szCs w:val="32"/>
        </w:rPr>
        <w:t>2</w:t>
      </w:r>
      <w:r>
        <w:rPr>
          <w:rFonts w:ascii="仿宋" w:hAnsi="仿宋" w:eastAsia="仿宋" w:cs="仿宋_GB2312"/>
          <w:sz w:val="32"/>
          <w:szCs w:val="32"/>
        </w:rPr>
        <w:t>个项目开展绩效监控，组织对</w:t>
      </w:r>
      <w:r>
        <w:rPr>
          <w:rFonts w:hint="eastAsia" w:ascii="仿宋" w:hAnsi="仿宋" w:eastAsia="仿宋" w:cs="仿宋_GB2312"/>
          <w:sz w:val="32"/>
          <w:szCs w:val="32"/>
        </w:rPr>
        <w:t>2</w:t>
      </w:r>
      <w:r>
        <w:rPr>
          <w:rFonts w:ascii="仿宋" w:hAnsi="仿宋" w:eastAsia="仿宋" w:cs="仿宋_GB2312"/>
          <w:sz w:val="32"/>
          <w:szCs w:val="32"/>
        </w:rPr>
        <w:t>个项目开展绩效自评，绩效自评表详见第四部分附件</w:t>
      </w:r>
      <w:bookmarkEnd w:id="92"/>
      <w:r>
        <w:rPr>
          <w:rFonts w:ascii="仿宋" w:hAnsi="仿宋" w:eastAsia="仿宋" w:cs="仿宋_GB2312"/>
          <w:sz w:val="32"/>
          <w:szCs w:val="32"/>
        </w:rPr>
        <w:t>。</w:t>
      </w:r>
      <w:bookmarkEnd w:id="93"/>
    </w:p>
    <w:p w14:paraId="21BF478C">
      <w:pPr>
        <w:pStyle w:val="2"/>
      </w:pPr>
    </w:p>
    <w:p w14:paraId="29E85A32"/>
    <w:p w14:paraId="0AA4651B">
      <w:pPr>
        <w:pStyle w:val="2"/>
      </w:pPr>
    </w:p>
    <w:p w14:paraId="7FC9E218"/>
    <w:p w14:paraId="0E3EC015">
      <w:pPr>
        <w:numPr>
          <w:ilvl w:val="0"/>
          <w:numId w:val="5"/>
        </w:numPr>
        <w:spacing w:line="600" w:lineRule="exact"/>
        <w:ind w:firstLine="660" w:firstLineChars="150"/>
        <w:jc w:val="center"/>
        <w:outlineLvl w:val="0"/>
        <w:rPr>
          <w:rStyle w:val="27"/>
          <w:rFonts w:hint="eastAsia" w:ascii="黑体" w:hAnsi="黑体" w:eastAsia="黑体"/>
          <w:b w:val="0"/>
        </w:rPr>
      </w:pPr>
      <w:bookmarkStart w:id="94" w:name="_Toc15396613"/>
      <w:bookmarkStart w:id="95" w:name="_Toc15377225"/>
      <w:bookmarkStart w:id="96" w:name="_Toc176813759"/>
      <w:r>
        <w:rPr>
          <w:rFonts w:hint="eastAsia" w:ascii="黑体" w:hAnsi="黑体" w:eastAsia="黑体"/>
          <w:sz w:val="44"/>
          <w:szCs w:val="44"/>
        </w:rPr>
        <w:t>名</w:t>
      </w:r>
      <w:r>
        <w:rPr>
          <w:rStyle w:val="27"/>
          <w:rFonts w:hint="eastAsia" w:ascii="黑体" w:hAnsi="黑体" w:eastAsia="黑体"/>
          <w:b w:val="0"/>
        </w:rPr>
        <w:t>词解释</w:t>
      </w:r>
      <w:bookmarkEnd w:id="94"/>
      <w:bookmarkEnd w:id="95"/>
      <w:bookmarkEnd w:id="96"/>
    </w:p>
    <w:p w14:paraId="185B9609">
      <w:pPr>
        <w:spacing w:line="600" w:lineRule="exact"/>
        <w:jc w:val="left"/>
        <w:rPr>
          <w:rFonts w:ascii="宋体"/>
          <w:b/>
          <w:sz w:val="44"/>
          <w:szCs w:val="44"/>
        </w:rPr>
      </w:pPr>
    </w:p>
    <w:p w14:paraId="0C9797C9">
      <w:pPr>
        <w:autoSpaceDE w:val="0"/>
        <w:autoSpaceDN w:val="0"/>
        <w:adjustRightInd w:val="0"/>
        <w:rPr>
          <w:rFonts w:ascii="仿宋_GB2312" w:hAnsi="Calibri" w:eastAsia="仿宋_GB2312" w:cs="仿宋"/>
          <w:color w:val="000000"/>
          <w:kern w:val="0"/>
          <w:sz w:val="32"/>
          <w:szCs w:val="32"/>
          <w14:ligatures w14:val="standardContextual"/>
        </w:rPr>
      </w:pPr>
      <w:bookmarkStart w:id="97" w:name="_Toc9549"/>
      <w:bookmarkStart w:id="98" w:name="_Toc15377226"/>
      <w:r>
        <w:rPr>
          <w:rFonts w:hint="eastAsia" w:ascii="仿宋_GB2312" w:hAnsi="Calibri" w:eastAsia="仿宋_GB2312" w:cs="仿宋"/>
          <w:color w:val="000000"/>
          <w:kern w:val="0"/>
          <w:sz w:val="32"/>
          <w:szCs w:val="32"/>
          <w14:ligatures w14:val="standardContextual"/>
        </w:rPr>
        <w:t>1.财政拨款收入：指单位从同级财政部门取得的财政预算资金。</w:t>
      </w:r>
      <w:bookmarkEnd w:id="97"/>
    </w:p>
    <w:p w14:paraId="2EA6BC8F">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2.事业收入：指事业单位开展专业业务活动及辅助活动取得的收入。</w:t>
      </w:r>
    </w:p>
    <w:p w14:paraId="4D9C78D0">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3.经营收入：指事业单位在专业业务活动及其辅助活动之外开展非独立核算经营活动取得的收入。</w:t>
      </w:r>
    </w:p>
    <w:p w14:paraId="06D3AC9E">
      <w:pPr>
        <w:autoSpaceDE w:val="0"/>
        <w:autoSpaceDN w:val="0"/>
        <w:adjustRightInd w:val="0"/>
        <w:rPr>
          <w:rFonts w:ascii="仿宋_GB2312" w:hAnsi="Calibri" w:eastAsia="仿宋_GB2312" w:cs="仿宋"/>
          <w:color w:val="000000"/>
          <w:kern w:val="0"/>
          <w:sz w:val="32"/>
          <w:szCs w:val="32"/>
          <w14:ligatures w14:val="standardContextual"/>
        </w:rPr>
      </w:pPr>
      <w:bookmarkStart w:id="99" w:name="_Toc19922"/>
      <w:r>
        <w:rPr>
          <w:rFonts w:hint="eastAsia" w:ascii="仿宋_GB2312" w:hAnsi="Calibri" w:eastAsia="仿宋_GB2312" w:cs="仿宋"/>
          <w:color w:val="000000"/>
          <w:kern w:val="0"/>
          <w:sz w:val="32"/>
          <w:szCs w:val="32"/>
          <w14:ligatures w14:val="standardContextual"/>
        </w:rPr>
        <w:t>4.其他收入：指单位取得的除上述收入以外的各项收入。</w:t>
      </w:r>
      <w:bookmarkEnd w:id="99"/>
    </w:p>
    <w:p w14:paraId="0191CFD7">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5.使用非财政拨款结余：指事业单位使用以前年度积累的非财政拨款结余弥补当年收支差额的金额。</w:t>
      </w:r>
    </w:p>
    <w:p w14:paraId="51DF258C">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6.年初结转和结余：指以前年度尚未完成、结转到本年按有关规定继续使用的资金。</w:t>
      </w:r>
    </w:p>
    <w:p w14:paraId="78B05FC5">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7.结余分配：指事业单位按照会计制度规定缴纳的所得税、提取的专用结余以及转入非财政拨款结余的金额等。</w:t>
      </w:r>
    </w:p>
    <w:p w14:paraId="21571429">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8、年末结转和结余：指单位按有关规定结转到下年或以后年度继续使用的资金。</w:t>
      </w:r>
    </w:p>
    <w:p w14:paraId="24AD2BA8">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9.基本支出：指为保障机构正常运转、完成日常工作任务而发生的人员支出和公用支出。</w:t>
      </w:r>
    </w:p>
    <w:p w14:paraId="22709FCE">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10.项目支出：指在基本支出之外为完成特定行政任务和事业发展目标所发生的支出。</w:t>
      </w:r>
    </w:p>
    <w:p w14:paraId="55AF5828">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11.经营支出：指事业单位在专业业务活动及其辅助活动之外开展非独立核算经营活动发生的支出。</w:t>
      </w:r>
    </w:p>
    <w:p w14:paraId="42D5EAD2">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9E5089">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844DDF">
      <w:pPr>
        <w:autoSpaceDE w:val="0"/>
        <w:autoSpaceDN w:val="0"/>
        <w:adjustRightInd w:val="0"/>
        <w:rPr>
          <w:rFonts w:ascii="仿宋_GB2312" w:hAnsi="Calibri" w:eastAsia="仿宋_GB2312" w:cs="仿宋"/>
          <w:color w:val="000000"/>
          <w:kern w:val="0"/>
          <w:sz w:val="32"/>
          <w:szCs w:val="32"/>
          <w14:ligatures w14:val="standardContextual"/>
        </w:rPr>
      </w:pPr>
      <w:r>
        <w:rPr>
          <w:rFonts w:hint="eastAsia" w:ascii="仿宋_GB2312" w:hAnsi="Calibri" w:eastAsia="仿宋_GB2312" w:cs="仿宋"/>
          <w:color w:val="000000"/>
          <w:kern w:val="0"/>
          <w:sz w:val="32"/>
          <w:szCs w:val="32"/>
          <w14:ligatures w14:val="standardContextual"/>
        </w:rPr>
        <w:t>14.住房保障支出</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类</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住房改革支出</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款</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住房公积金</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项</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指行政事业单位住房公积金缴费支出。</w:t>
      </w:r>
    </w:p>
    <w:p w14:paraId="6DAC1D08">
      <w:pPr>
        <w:autoSpaceDE w:val="0"/>
        <w:autoSpaceDN w:val="0"/>
        <w:adjustRightInd w:val="0"/>
        <w:rPr>
          <w:rFonts w:ascii="仿宋_GB2312" w:hAnsi="Calibri" w:eastAsia="仿宋_GB2312" w:cs="仿宋"/>
          <w:color w:val="000000"/>
          <w:kern w:val="0"/>
          <w:sz w:val="32"/>
          <w:szCs w:val="32"/>
          <w14:ligatures w14:val="standardContextual"/>
        </w:rPr>
      </w:pPr>
      <w:bookmarkStart w:id="100" w:name="_Toc23562"/>
      <w:r>
        <w:rPr>
          <w:rFonts w:hint="eastAsia" w:ascii="仿宋_GB2312" w:hAnsi="Calibri" w:eastAsia="仿宋_GB2312" w:cs="仿宋"/>
          <w:color w:val="000000"/>
          <w:kern w:val="0"/>
          <w:sz w:val="32"/>
          <w:szCs w:val="32"/>
          <w14:ligatures w14:val="standardContextual"/>
        </w:rPr>
        <w:t>15.农林水</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类</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巩固脱贫衔接乡村振兴</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款</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社会发展</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项</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指建档立卡学生补助支出。</w:t>
      </w:r>
      <w:bookmarkEnd w:id="100"/>
    </w:p>
    <w:p w14:paraId="7EE29E82">
      <w:pPr>
        <w:autoSpaceDE w:val="0"/>
        <w:autoSpaceDN w:val="0"/>
        <w:adjustRightInd w:val="0"/>
        <w:rPr>
          <w:rFonts w:ascii="仿宋_GB2312" w:hAnsi="Calibri" w:eastAsia="仿宋_GB2312" w:cs="仿宋"/>
          <w:color w:val="000000"/>
          <w:kern w:val="0"/>
          <w:sz w:val="32"/>
          <w:szCs w:val="32"/>
          <w14:ligatures w14:val="standardContextual"/>
        </w:rPr>
      </w:pPr>
      <w:bookmarkStart w:id="101" w:name="_Toc1468"/>
      <w:r>
        <w:rPr>
          <w:rFonts w:hint="eastAsia" w:ascii="仿宋_GB2312" w:hAnsi="Calibri" w:eastAsia="仿宋_GB2312" w:cs="仿宋"/>
          <w:color w:val="000000"/>
          <w:kern w:val="0"/>
          <w:sz w:val="32"/>
          <w:szCs w:val="32"/>
          <w14:ligatures w14:val="standardContextual"/>
        </w:rPr>
        <w:t>16.教育支出（类）普通教育（款）小学教育（项），主要用于：单位运行的基本支出，包括基本工资、津贴补贴等人员经费以及办公费、水电费等日常公用经费支出。</w:t>
      </w:r>
      <w:bookmarkEnd w:id="101"/>
    </w:p>
    <w:p w14:paraId="56E7E2ED">
      <w:pPr>
        <w:autoSpaceDE w:val="0"/>
        <w:autoSpaceDN w:val="0"/>
        <w:adjustRightInd w:val="0"/>
        <w:rPr>
          <w:rFonts w:ascii="仿宋_GB2312" w:hAnsi="Calibri" w:eastAsia="仿宋_GB2312" w:cs="仿宋"/>
          <w:color w:val="000000"/>
          <w:kern w:val="0"/>
          <w:sz w:val="32"/>
          <w:szCs w:val="32"/>
          <w14:ligatures w14:val="standardContextual"/>
        </w:rPr>
      </w:pPr>
      <w:bookmarkStart w:id="102" w:name="_Toc2181"/>
      <w:r>
        <w:rPr>
          <w:rFonts w:hint="eastAsia" w:ascii="仿宋_GB2312" w:hAnsi="Calibri" w:eastAsia="仿宋_GB2312" w:cs="仿宋"/>
          <w:color w:val="000000"/>
          <w:kern w:val="0"/>
          <w:sz w:val="32"/>
          <w:szCs w:val="32"/>
          <w14:ligatures w14:val="standardContextual"/>
        </w:rPr>
        <w:t>17.</w:t>
      </w:r>
      <w:bookmarkEnd w:id="102"/>
      <w:r>
        <w:rPr>
          <w:rFonts w:hint="eastAsia" w:ascii="仿宋_GB2312" w:hAnsi="Calibri" w:eastAsia="仿宋_GB2312" w:cs="仿宋"/>
          <w:color w:val="000000"/>
          <w:kern w:val="0"/>
          <w:sz w:val="32"/>
          <w:szCs w:val="32"/>
          <w14:ligatures w14:val="standardContextual"/>
        </w:rPr>
        <w:t>教育支出（类）教育费附加安排的支出（款）其他教育费附加安排的支出（项）:反映其他教育费附加安排的支出。</w:t>
      </w:r>
    </w:p>
    <w:p w14:paraId="18F98820">
      <w:pPr>
        <w:autoSpaceDE w:val="0"/>
        <w:autoSpaceDN w:val="0"/>
        <w:adjustRightInd w:val="0"/>
        <w:rPr>
          <w:rFonts w:ascii="仿宋_GB2312" w:hAnsi="Calibri" w:eastAsia="仿宋_GB2312" w:cs="仿宋"/>
          <w:color w:val="000000"/>
          <w:kern w:val="0"/>
          <w:sz w:val="32"/>
          <w:szCs w:val="32"/>
          <w14:ligatures w14:val="standardContextual"/>
        </w:rPr>
      </w:pPr>
      <w:bookmarkStart w:id="103" w:name="_Toc18873"/>
      <w:r>
        <w:rPr>
          <w:rFonts w:hint="eastAsia" w:ascii="仿宋_GB2312" w:hAnsi="Calibri" w:eastAsia="仿宋_GB2312" w:cs="仿宋"/>
          <w:color w:val="000000"/>
          <w:kern w:val="0"/>
          <w:sz w:val="32"/>
          <w:szCs w:val="32"/>
          <w14:ligatures w14:val="standardContextual"/>
        </w:rPr>
        <w:t>18.社会保障和就业支出</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类</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人力资源和社会保障管理事务</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款</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事业运行</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项</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指行政单位</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包括实行公务员管理的事业单位</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的基本支出。</w:t>
      </w:r>
      <w:bookmarkEnd w:id="103"/>
    </w:p>
    <w:p w14:paraId="37E7E7ED">
      <w:pPr>
        <w:autoSpaceDE w:val="0"/>
        <w:autoSpaceDN w:val="0"/>
        <w:adjustRightInd w:val="0"/>
        <w:rPr>
          <w:rFonts w:ascii="仿宋_GB2312" w:hAnsi="Calibri" w:eastAsia="仿宋_GB2312" w:cs="仿宋"/>
          <w:color w:val="000000"/>
          <w:kern w:val="0"/>
          <w:sz w:val="32"/>
          <w:szCs w:val="32"/>
          <w14:ligatures w14:val="standardContextual"/>
        </w:rPr>
      </w:pPr>
      <w:bookmarkStart w:id="104" w:name="_Toc3555"/>
      <w:r>
        <w:rPr>
          <w:rFonts w:hint="eastAsia" w:ascii="仿宋_GB2312" w:hAnsi="Calibri" w:eastAsia="仿宋_GB2312" w:cs="仿宋"/>
          <w:color w:val="000000"/>
          <w:kern w:val="0"/>
          <w:sz w:val="32"/>
          <w:szCs w:val="32"/>
          <w14:ligatures w14:val="standardContextual"/>
        </w:rPr>
        <w:t>19.卫生健康支出（类）行政事业单位医疗（款）事业单位医疗（项）反映事业单位医疗方面的支出。</w:t>
      </w:r>
      <w:bookmarkEnd w:id="104"/>
    </w:p>
    <w:p w14:paraId="56B940B2">
      <w:pPr>
        <w:autoSpaceDE w:val="0"/>
        <w:autoSpaceDN w:val="0"/>
        <w:adjustRightInd w:val="0"/>
        <w:rPr>
          <w:rFonts w:ascii="仿宋_GB2312" w:hAnsi="Calibri" w:eastAsia="仿宋_GB2312" w:cs="仿宋"/>
          <w:color w:val="000000"/>
          <w:kern w:val="0"/>
          <w:sz w:val="32"/>
          <w:szCs w:val="32"/>
          <w14:ligatures w14:val="standardContextual"/>
        </w:rPr>
      </w:pPr>
      <w:bookmarkStart w:id="105" w:name="_Toc15557"/>
      <w:r>
        <w:rPr>
          <w:rFonts w:hint="eastAsia" w:ascii="仿宋_GB2312" w:hAnsi="Calibri" w:eastAsia="仿宋_GB2312" w:cs="仿宋"/>
          <w:color w:val="000000"/>
          <w:kern w:val="0"/>
          <w:sz w:val="32"/>
          <w:szCs w:val="32"/>
          <w14:ligatures w14:val="standardContextual"/>
        </w:rPr>
        <w:t>20.社会保障和就业（类）行政事业单位养老支出（款）机关事业单位基本养老保险缴费支出（项）反映机关事业单位基本养老保险缴费支出。</w:t>
      </w:r>
      <w:bookmarkEnd w:id="105"/>
    </w:p>
    <w:p w14:paraId="1BF3BF16">
      <w:pPr>
        <w:autoSpaceDE w:val="0"/>
        <w:autoSpaceDN w:val="0"/>
        <w:adjustRightInd w:val="0"/>
        <w:rPr>
          <w:rFonts w:ascii="仿宋_GB2312" w:hAnsi="Calibri" w:eastAsia="仿宋_GB2312" w:cs="仿宋"/>
          <w:color w:val="000000"/>
          <w:kern w:val="0"/>
          <w:sz w:val="32"/>
          <w:szCs w:val="32"/>
          <w14:ligatures w14:val="standardContextual"/>
        </w:rPr>
      </w:pPr>
      <w:bookmarkStart w:id="106" w:name="_Toc17900"/>
      <w:r>
        <w:rPr>
          <w:rFonts w:hint="eastAsia" w:ascii="仿宋_GB2312" w:hAnsi="Calibri" w:eastAsia="仿宋_GB2312" w:cs="仿宋"/>
          <w:color w:val="000000"/>
          <w:kern w:val="0"/>
          <w:sz w:val="32"/>
          <w:szCs w:val="32"/>
          <w14:ligatures w14:val="standardContextual"/>
        </w:rPr>
        <w:t>21.卫生健康支出（类）行政事业单位医疗（款）其他行政事业单位医疗支出（项）反映其他行政事业单位医疗方面的支出。</w:t>
      </w:r>
      <w:bookmarkEnd w:id="106"/>
    </w:p>
    <w:p w14:paraId="70F68156">
      <w:pPr>
        <w:autoSpaceDE w:val="0"/>
        <w:autoSpaceDN w:val="0"/>
        <w:adjustRightInd w:val="0"/>
        <w:rPr>
          <w:rFonts w:ascii="仿宋_GB2312" w:hAnsi="Calibri" w:eastAsia="仿宋_GB2312" w:cs="仿宋"/>
          <w:color w:val="000000"/>
          <w:kern w:val="0"/>
          <w:sz w:val="32"/>
          <w:szCs w:val="32"/>
          <w14:ligatures w14:val="standardContextual"/>
        </w:rPr>
      </w:pPr>
      <w:bookmarkStart w:id="107" w:name="_Toc4417"/>
      <w:r>
        <w:rPr>
          <w:rFonts w:hint="eastAsia" w:ascii="仿宋_GB2312" w:hAnsi="Calibri" w:eastAsia="仿宋_GB2312" w:cs="仿宋"/>
          <w:color w:val="000000"/>
          <w:kern w:val="0"/>
          <w:sz w:val="32"/>
          <w:szCs w:val="32"/>
          <w14:ligatures w14:val="standardContextual"/>
        </w:rPr>
        <w:t>22.卫生健康支出（类）公共卫生（款）其他公共卫生支出（项）</w:t>
      </w:r>
      <w:r>
        <w:rPr>
          <w:rFonts w:hint="eastAsia" w:ascii="仿宋_GB2312" w:hAnsi="Calibri" w:eastAsia="仿宋_GB2312" w:cs="仿宋"/>
          <w:color w:val="000000"/>
          <w:kern w:val="0"/>
          <w:sz w:val="32"/>
          <w:szCs w:val="32"/>
          <w:lang w:eastAsia="zh-CN"/>
          <w14:ligatures w14:val="standardContextual"/>
        </w:rPr>
        <w:t>：</w:t>
      </w:r>
      <w:r>
        <w:rPr>
          <w:rFonts w:hint="eastAsia" w:ascii="仿宋_GB2312" w:hAnsi="Calibri" w:eastAsia="仿宋_GB2312" w:cs="仿宋"/>
          <w:color w:val="000000"/>
          <w:kern w:val="0"/>
          <w:sz w:val="32"/>
          <w:szCs w:val="32"/>
          <w14:ligatures w14:val="standardContextual"/>
        </w:rPr>
        <w:t>其他公共卫生支出反映除上述项目以外的其他用于公共卫生方面的支出。</w:t>
      </w:r>
      <w:bookmarkEnd w:id="107"/>
    </w:p>
    <w:p w14:paraId="3BCCB1FC">
      <w:pPr>
        <w:spacing w:line="600" w:lineRule="exact"/>
        <w:jc w:val="left"/>
        <w:outlineLvl w:val="0"/>
        <w:rPr>
          <w:rStyle w:val="27"/>
          <w:rFonts w:hint="eastAsia" w:ascii="黑体" w:hAnsi="黑体" w:eastAsia="黑体"/>
          <w:b w:val="0"/>
        </w:rPr>
      </w:pPr>
      <w:bookmarkStart w:id="108" w:name="_Toc16979"/>
      <w:bookmarkStart w:id="109" w:name="_Toc176813760"/>
      <w:r>
        <w:rPr>
          <w:rFonts w:hint="eastAsia" w:ascii="仿宋_GB2312" w:hAnsi="Calibri" w:eastAsia="仿宋_GB2312" w:cs="仿宋"/>
          <w:color w:val="000000"/>
          <w:kern w:val="0"/>
          <w:sz w:val="32"/>
          <w:szCs w:val="32"/>
          <w14:ligatures w14:val="standardContextual"/>
        </w:rPr>
        <w:t>23.社会保障和就业（类）其他社会保障和就业支出（款）其他社会保障和就业支出（项）反映除上述项目以外其他用于社会保障和就业方面的支出。</w:t>
      </w:r>
      <w:bookmarkEnd w:id="108"/>
      <w:r>
        <w:rPr>
          <w:rFonts w:ascii="宋体"/>
          <w:b/>
          <w:sz w:val="44"/>
          <w:szCs w:val="44"/>
        </w:rPr>
        <w:br w:type="page"/>
      </w:r>
      <w:bookmarkStart w:id="110" w:name="_Toc15396614"/>
      <w:r>
        <w:rPr>
          <w:rFonts w:hint="eastAsia" w:ascii="黑体" w:hAnsi="黑体" w:eastAsia="黑体"/>
          <w:sz w:val="44"/>
          <w:szCs w:val="44"/>
        </w:rPr>
        <w:t>第</w:t>
      </w:r>
      <w:r>
        <w:rPr>
          <w:rStyle w:val="27"/>
          <w:rFonts w:hint="eastAsia" w:ascii="黑体" w:hAnsi="黑体" w:eastAsia="黑体"/>
          <w:b w:val="0"/>
        </w:rPr>
        <w:t>四部分 附件</w:t>
      </w:r>
      <w:bookmarkEnd w:id="109"/>
      <w:bookmarkEnd w:id="110"/>
    </w:p>
    <w:p w14:paraId="36D4E032">
      <w:pPr>
        <w:spacing w:line="600" w:lineRule="exact"/>
        <w:jc w:val="center"/>
        <w:outlineLvl w:val="0"/>
        <w:rPr>
          <w:rFonts w:hint="eastAsia" w:ascii="黑体" w:hAnsi="黑体" w:eastAsia="黑体"/>
          <w:color w:val="FF0000"/>
          <w:sz w:val="44"/>
          <w:szCs w:val="44"/>
        </w:rPr>
      </w:pPr>
      <w:bookmarkStart w:id="111" w:name="_Toc176813761"/>
      <w:bookmarkStart w:id="112" w:name="_Toc15396618"/>
      <w:r>
        <w:rPr>
          <w:rFonts w:hint="eastAsia"/>
          <w:sz w:val="32"/>
          <w:szCs w:val="32"/>
        </w:rPr>
        <w:t>单位预算项目支出绩效自评表（2023年度）</w:t>
      </w:r>
      <w:bookmarkEnd w:id="111"/>
    </w:p>
    <w:tbl>
      <w:tblPr>
        <w:tblStyle w:val="15"/>
        <w:tblW w:w="9105" w:type="dxa"/>
        <w:tblInd w:w="0" w:type="dxa"/>
        <w:tblLayout w:type="fixed"/>
        <w:tblCellMar>
          <w:top w:w="0" w:type="dxa"/>
          <w:left w:w="0" w:type="dxa"/>
          <w:bottom w:w="0" w:type="dxa"/>
          <w:right w:w="0" w:type="dxa"/>
        </w:tblCellMar>
      </w:tblPr>
      <w:tblGrid>
        <w:gridCol w:w="494"/>
        <w:gridCol w:w="1317"/>
        <w:gridCol w:w="809"/>
        <w:gridCol w:w="1035"/>
        <w:gridCol w:w="521"/>
        <w:gridCol w:w="599"/>
        <w:gridCol w:w="520"/>
        <w:gridCol w:w="989"/>
        <w:gridCol w:w="505"/>
        <w:gridCol w:w="456"/>
        <w:gridCol w:w="1860"/>
      </w:tblGrid>
      <w:tr w14:paraId="4D806A79">
        <w:tblPrEx>
          <w:tblCellMar>
            <w:top w:w="0" w:type="dxa"/>
            <w:left w:w="0" w:type="dxa"/>
            <w:bottom w:w="0" w:type="dxa"/>
            <w:right w:w="0" w:type="dxa"/>
          </w:tblCellMar>
        </w:tblPrEx>
        <w:trPr>
          <w:trHeight w:val="390" w:hRule="atLeast"/>
        </w:trPr>
        <w:tc>
          <w:tcPr>
            <w:tcW w:w="91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BB3A">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部门预算项目支出绩效自评表（2023年度）</w:t>
            </w:r>
          </w:p>
        </w:tc>
      </w:tr>
      <w:tr w14:paraId="78901B61">
        <w:tblPrEx>
          <w:tblCellMar>
            <w:top w:w="0" w:type="dxa"/>
            <w:left w:w="0" w:type="dxa"/>
            <w:bottom w:w="0" w:type="dxa"/>
            <w:right w:w="0" w:type="dxa"/>
          </w:tblCellMar>
        </w:tblPrEx>
        <w:trPr>
          <w:trHeight w:val="270" w:hRule="atLeast"/>
        </w:trPr>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18BF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29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145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51098123T000007812024</w:t>
            </w:r>
            <w:r>
              <w:rPr>
                <w:rFonts w:hint="eastAsia" w:ascii="宋体" w:hAnsi="宋体" w:cs="宋体"/>
                <w:color w:val="000000"/>
                <w:kern w:val="0"/>
                <w:sz w:val="18"/>
                <w:szCs w:val="18"/>
                <w:lang w:eastAsia="zh-CN" w:bidi="ar"/>
              </w:rPr>
              <w:t>－</w:t>
            </w:r>
            <w:r>
              <w:rPr>
                <w:rFonts w:ascii="宋体" w:hAnsi="宋体" w:cs="宋体"/>
                <w:color w:val="000000"/>
                <w:kern w:val="0"/>
                <w:sz w:val="18"/>
                <w:szCs w:val="18"/>
                <w:lang w:bidi="ar"/>
              </w:rPr>
              <w:t>市本级财政衔接推进乡村振兴资金（建档立卡学生免课后服务）</w:t>
            </w:r>
          </w:p>
        </w:tc>
      </w:tr>
      <w:tr w14:paraId="14406DD0">
        <w:tblPrEx>
          <w:tblCellMar>
            <w:top w:w="0" w:type="dxa"/>
            <w:left w:w="0" w:type="dxa"/>
            <w:bottom w:w="0" w:type="dxa"/>
            <w:right w:w="0" w:type="dxa"/>
          </w:tblCellMar>
        </w:tblPrEx>
        <w:trPr>
          <w:trHeight w:val="450" w:hRule="atLeast"/>
        </w:trPr>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46E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170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射洪市教育和体育局部门</w:t>
            </w:r>
          </w:p>
        </w:tc>
        <w:tc>
          <w:tcPr>
            <w:tcW w:w="989" w:type="dxa"/>
            <w:tcBorders>
              <w:top w:val="nil"/>
              <w:left w:val="nil"/>
              <w:bottom w:val="nil"/>
              <w:right w:val="nil"/>
            </w:tcBorders>
            <w:shd w:val="clear" w:color="auto" w:fill="auto"/>
            <w:tcMar>
              <w:top w:w="15" w:type="dxa"/>
              <w:left w:w="15" w:type="dxa"/>
              <w:right w:w="15" w:type="dxa"/>
            </w:tcMar>
            <w:vAlign w:val="center"/>
          </w:tcPr>
          <w:p w14:paraId="17C9800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58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射洪市复兴镇中心小学校</w:t>
            </w:r>
          </w:p>
        </w:tc>
      </w:tr>
      <w:tr w14:paraId="7FF69A66">
        <w:tblPrEx>
          <w:tblCellMar>
            <w:top w:w="0" w:type="dxa"/>
            <w:left w:w="0" w:type="dxa"/>
            <w:bottom w:w="0" w:type="dxa"/>
            <w:right w:w="0" w:type="dxa"/>
          </w:tblCellMar>
        </w:tblPrEx>
        <w:trPr>
          <w:trHeight w:val="2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80E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A1A0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FD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75BBA">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B1A21A8">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4539">
            <w:pPr>
              <w:rPr>
                <w:rFonts w:hint="eastAsia" w:ascii="宋体" w:hAnsi="宋体" w:cs="宋体"/>
                <w:color w:val="000000"/>
                <w:sz w:val="18"/>
                <w:szCs w:val="18"/>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27373">
            <w:pPr>
              <w:rPr>
                <w:rFonts w:hint="eastAsia" w:ascii="宋体" w:hAnsi="宋体" w:cs="宋体"/>
                <w:color w:val="000000"/>
                <w:sz w:val="18"/>
                <w:szCs w:val="18"/>
              </w:rPr>
            </w:pP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D127">
            <w:pPr>
              <w:rPr>
                <w:rFonts w:hint="eastAsia" w:ascii="宋体" w:hAnsi="宋体" w:cs="宋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w:t>
            </w:r>
            <w:r>
              <w:rPr>
                <w:rFonts w:hint="eastAsia" w:ascii="宋体" w:hAnsi="宋体" w:cs="宋体"/>
                <w:color w:val="000000"/>
                <w:kern w:val="0"/>
                <w:sz w:val="18"/>
                <w:szCs w:val="18"/>
                <w:lang w:bidi="ar"/>
              </w:rPr>
              <w:t>免课后服务费。</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9EDC">
            <w:pPr>
              <w:widowControl/>
              <w:jc w:val="left"/>
              <w:textAlignment w:val="center"/>
              <w:rPr>
                <w:rFonts w:hint="eastAsia" w:ascii="黑体" w:hAnsi="黑体" w:eastAsia="黑体" w:cs="黑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w:t>
            </w:r>
            <w:r>
              <w:rPr>
                <w:rFonts w:hint="eastAsia" w:ascii="宋体" w:hAnsi="宋体" w:cs="宋体"/>
                <w:color w:val="000000"/>
                <w:kern w:val="0"/>
                <w:sz w:val="18"/>
                <w:szCs w:val="18"/>
                <w:lang w:bidi="ar"/>
              </w:rPr>
              <w:t>免课后服务费。</w:t>
            </w:r>
          </w:p>
        </w:tc>
      </w:tr>
      <w:tr w14:paraId="7BB31C1D">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0BAA">
            <w:pP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463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9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3E98">
            <w:pPr>
              <w:rPr>
                <w:rFonts w:hint="eastAsia" w:ascii="宋体" w:hAnsi="宋体" w:cs="宋体"/>
                <w:color w:val="000000"/>
                <w:sz w:val="18"/>
                <w:szCs w:val="18"/>
              </w:rPr>
            </w:pPr>
          </w:p>
        </w:tc>
      </w:tr>
      <w:tr w14:paraId="35D0CA18">
        <w:tblPrEx>
          <w:tblCellMar>
            <w:top w:w="0" w:type="dxa"/>
            <w:left w:w="0" w:type="dxa"/>
            <w:bottom w:w="0" w:type="dxa"/>
            <w:right w:w="0" w:type="dxa"/>
          </w:tblCellMar>
        </w:tblPrEx>
        <w:trPr>
          <w:trHeight w:val="45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8F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E6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F9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67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F9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72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63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EE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B19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563A9951">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C533">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FE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38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E0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3.96</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E9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3.96</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2D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1A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824C5">
            <w:pPr>
              <w:jc w:val="center"/>
              <w:rPr>
                <w:rFonts w:hint="eastAsia" w:ascii="宋体" w:hAnsi="宋体" w:cs="宋体"/>
                <w:color w:val="000000"/>
                <w:sz w:val="18"/>
                <w:szCs w:val="18"/>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7FB1">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w:t>
            </w:r>
            <w:r>
              <w:rPr>
                <w:rFonts w:hint="eastAsia" w:ascii="黑体" w:hAnsi="黑体" w:eastAsia="黑体" w:cs="黑体"/>
                <w:i/>
                <w:color w:val="000000"/>
                <w:kern w:val="0"/>
                <w:sz w:val="18"/>
                <w:szCs w:val="18"/>
                <w:lang w:eastAsia="zh-CN" w:bidi="ar"/>
              </w:rPr>
              <w:t>；</w:t>
            </w:r>
            <w:r>
              <w:rPr>
                <w:rFonts w:hint="eastAsia" w:ascii="黑体" w:hAnsi="黑体" w:eastAsia="黑体" w:cs="黑体"/>
                <w:i/>
                <w:color w:val="000000"/>
                <w:kern w:val="0"/>
                <w:sz w:val="18"/>
                <w:szCs w:val="18"/>
                <w:lang w:bidi="ar"/>
              </w:rPr>
              <w:t>2.年中发生预算调整的（追加或调减）</w:t>
            </w:r>
            <w:r>
              <w:rPr>
                <w:rFonts w:hint="eastAsia" w:ascii="黑体" w:hAnsi="黑体" w:eastAsia="黑体" w:cs="黑体"/>
                <w:i/>
                <w:color w:val="000000"/>
                <w:kern w:val="0"/>
                <w:sz w:val="18"/>
                <w:szCs w:val="18"/>
                <w:lang w:eastAsia="zh-CN" w:bidi="ar"/>
              </w:rPr>
              <w:t>，</w:t>
            </w:r>
            <w:r>
              <w:rPr>
                <w:rFonts w:hint="eastAsia" w:ascii="黑体" w:hAnsi="黑体" w:eastAsia="黑体" w:cs="黑体"/>
                <w:i/>
                <w:color w:val="000000"/>
                <w:kern w:val="0"/>
                <w:sz w:val="18"/>
                <w:szCs w:val="18"/>
                <w:lang w:bidi="ar"/>
              </w:rPr>
              <w:t>应单独说明理由；3.其他资金包括：社会投入资金、银行贷款.</w:t>
            </w:r>
          </w:p>
        </w:tc>
      </w:tr>
      <w:tr w14:paraId="31DD2A6C">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A779">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87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A7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E0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3.96</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29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3.96</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44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FC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52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29F9">
            <w:pPr>
              <w:rPr>
                <w:rFonts w:hint="eastAsia" w:ascii="黑体" w:hAnsi="黑体" w:eastAsia="黑体" w:cs="黑体"/>
                <w:i/>
                <w:color w:val="000000"/>
                <w:sz w:val="18"/>
                <w:szCs w:val="18"/>
              </w:rPr>
            </w:pPr>
          </w:p>
        </w:tc>
      </w:tr>
      <w:tr w14:paraId="0FB1C79A">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398B">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47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BB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3B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61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41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28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230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D68E">
            <w:pPr>
              <w:rPr>
                <w:rFonts w:hint="eastAsia" w:ascii="黑体" w:hAnsi="黑体" w:eastAsia="黑体" w:cs="黑体"/>
                <w:i/>
                <w:color w:val="000000"/>
                <w:sz w:val="18"/>
                <w:szCs w:val="18"/>
              </w:rPr>
            </w:pPr>
          </w:p>
        </w:tc>
      </w:tr>
      <w:tr w14:paraId="059EB58A">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1365">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E9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204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0A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ABC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B8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56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BCC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25CB">
            <w:pPr>
              <w:rPr>
                <w:rFonts w:hint="eastAsia" w:ascii="黑体" w:hAnsi="黑体" w:eastAsia="黑体" w:cs="黑体"/>
                <w:i/>
                <w:color w:val="000000"/>
                <w:sz w:val="18"/>
                <w:szCs w:val="18"/>
              </w:rPr>
            </w:pPr>
          </w:p>
        </w:tc>
      </w:tr>
      <w:tr w14:paraId="504DBDC6">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2BFA">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DC2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99B1">
            <w:pPr>
              <w:jc w:val="center"/>
              <w:rPr>
                <w:rFonts w:hint="eastAsia" w:ascii="微软雅黑" w:hAnsi="微软雅黑" w:eastAsia="微软雅黑" w:cs="微软雅黑"/>
                <w:i/>
                <w:color w:val="000000"/>
                <w:sz w:val="16"/>
                <w:szCs w:val="1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F1FE">
            <w:pPr>
              <w:jc w:val="center"/>
              <w:rPr>
                <w:rFonts w:hint="eastAsia" w:ascii="微软雅黑" w:hAnsi="微软雅黑" w:eastAsia="微软雅黑" w:cs="微软雅黑"/>
                <w:i/>
                <w:color w:val="000000"/>
                <w:sz w:val="16"/>
                <w:szCs w:val="16"/>
              </w:rPr>
            </w:pP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7D2E">
            <w:pPr>
              <w:jc w:val="center"/>
              <w:rPr>
                <w:rFonts w:hint="eastAsia" w:ascii="微软雅黑" w:hAnsi="微软雅黑" w:eastAsia="微软雅黑" w:cs="微软雅黑"/>
                <w:i/>
                <w:color w:val="000000"/>
                <w:sz w:val="16"/>
                <w:szCs w:val="16"/>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3ABB">
            <w:pPr>
              <w:jc w:val="center"/>
              <w:rPr>
                <w:rFonts w:hint="eastAsia"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FC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B979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5D43">
            <w:pPr>
              <w:rPr>
                <w:rFonts w:hint="eastAsia" w:ascii="黑体" w:hAnsi="黑体" w:eastAsia="黑体" w:cs="黑体"/>
                <w:i/>
                <w:color w:val="000000"/>
                <w:sz w:val="18"/>
                <w:szCs w:val="18"/>
              </w:rPr>
            </w:pPr>
          </w:p>
        </w:tc>
      </w:tr>
      <w:tr w14:paraId="7C58D4B6">
        <w:tblPrEx>
          <w:tblCellMar>
            <w:top w:w="0" w:type="dxa"/>
            <w:left w:w="0" w:type="dxa"/>
            <w:bottom w:w="0" w:type="dxa"/>
            <w:right w:w="0" w:type="dxa"/>
          </w:tblCellMar>
        </w:tblPrEx>
        <w:trPr>
          <w:trHeight w:val="45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42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8AB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27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B3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260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5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D2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FC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B2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14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D3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0B383523">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3E07">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92BF">
            <w:pPr>
              <w:jc w:val="center"/>
              <w:rPr>
                <w:rFonts w:hint="eastAsia" w:ascii="宋体" w:hAnsi="宋体" w:cs="宋体"/>
                <w:color w:val="000000"/>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7B22">
            <w:pPr>
              <w:jc w:val="center"/>
              <w:rPr>
                <w:rFonts w:hint="eastAsia"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A7B6">
            <w:pPr>
              <w:jc w:val="center"/>
              <w:rPr>
                <w:rFonts w:hint="eastAsia" w:ascii="宋体" w:hAnsi="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BB39">
            <w:pPr>
              <w:jc w:val="center"/>
              <w:rPr>
                <w:rFonts w:hint="eastAsia" w:ascii="宋体" w:hAnsi="宋体" w:cs="宋体"/>
                <w:color w:val="000000"/>
                <w:sz w:val="18"/>
                <w:szCs w:val="18"/>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45D5">
            <w:pPr>
              <w:jc w:val="center"/>
              <w:rPr>
                <w:rFonts w:hint="eastAsia" w:ascii="宋体" w:hAnsi="宋体" w:cs="宋体"/>
                <w:color w:val="000000"/>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EB32">
            <w:pPr>
              <w:jc w:val="center"/>
              <w:rPr>
                <w:rFonts w:hint="eastAsia"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CFCE">
            <w:pPr>
              <w:jc w:val="center"/>
              <w:rPr>
                <w:rFonts w:hint="eastAsia"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E861">
            <w:pPr>
              <w:jc w:val="center"/>
              <w:rPr>
                <w:rFonts w:hint="eastAsia" w:ascii="宋体" w:hAnsi="宋体" w:cs="宋体"/>
                <w:color w:val="000000"/>
                <w:sz w:val="18"/>
                <w:szCs w:val="18"/>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A335">
            <w:pPr>
              <w:jc w:val="center"/>
              <w:rPr>
                <w:rFonts w:hint="eastAsia" w:ascii="宋体" w:hAnsi="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1D85">
            <w:pPr>
              <w:jc w:val="center"/>
              <w:rPr>
                <w:rFonts w:hint="eastAsia" w:ascii="微软雅黑" w:hAnsi="微软雅黑" w:eastAsia="微软雅黑" w:cs="微软雅黑"/>
                <w:i/>
                <w:color w:val="000000"/>
                <w:sz w:val="16"/>
                <w:szCs w:val="16"/>
              </w:rPr>
            </w:pPr>
          </w:p>
        </w:tc>
      </w:tr>
      <w:tr w14:paraId="62263F16">
        <w:tblPrEx>
          <w:tblCellMar>
            <w:top w:w="0" w:type="dxa"/>
            <w:left w:w="0" w:type="dxa"/>
            <w:bottom w:w="0" w:type="dxa"/>
            <w:right w:w="0" w:type="dxa"/>
          </w:tblCellMar>
        </w:tblPrEx>
        <w:trPr>
          <w:trHeight w:val="270" w:hRule="atLeast"/>
        </w:trPr>
        <w:tc>
          <w:tcPr>
            <w:tcW w:w="628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2D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25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21B3">
            <w:pPr>
              <w:rPr>
                <w:rFonts w:hint="eastAsia" w:ascii="宋体" w:hAnsi="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829A">
            <w:pPr>
              <w:rPr>
                <w:rFonts w:hint="eastAsia" w:ascii="宋体" w:hAnsi="宋体" w:cs="宋体"/>
                <w:color w:val="000000"/>
                <w:sz w:val="18"/>
                <w:szCs w:val="18"/>
              </w:rPr>
            </w:pPr>
          </w:p>
        </w:tc>
      </w:tr>
      <w:tr w14:paraId="06D27619">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2A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4AFC">
            <w:pPr>
              <w:widowControl/>
              <w:jc w:val="left"/>
              <w:textAlignment w:val="center"/>
              <w:rPr>
                <w:rFonts w:hint="eastAsia" w:ascii="微软雅黑" w:hAnsi="微软雅黑" w:eastAsia="微软雅黑" w:cs="微软雅黑"/>
                <w:i/>
                <w:color w:val="000000"/>
                <w:sz w:val="16"/>
                <w:szCs w:val="16"/>
              </w:rPr>
            </w:pPr>
            <w:r>
              <w:rPr>
                <w:rFonts w:hint="eastAsia" w:ascii="宋体" w:hAnsi="宋体" w:cs="宋体"/>
                <w:color w:val="000000"/>
                <w:kern w:val="0"/>
                <w:sz w:val="18"/>
                <w:szCs w:val="18"/>
                <w:lang w:bidi="ar"/>
              </w:rPr>
              <w:t>该项资金预算执行率为100%，本项目的经费严格按照资金管理使用办法支出的范围使用。统一核算，按照项目计划安排和实际工作情况开支，做到了专款专用。</w:t>
            </w:r>
          </w:p>
        </w:tc>
      </w:tr>
      <w:tr w14:paraId="75713763">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5A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5E2A">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iCs/>
                <w:color w:val="000000"/>
                <w:kern w:val="0"/>
                <w:sz w:val="16"/>
                <w:szCs w:val="16"/>
                <w:lang w:bidi="ar"/>
              </w:rPr>
              <w:t>无</w:t>
            </w:r>
          </w:p>
        </w:tc>
      </w:tr>
      <w:tr w14:paraId="5246B5A1">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D1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F55">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iCs/>
                <w:color w:val="000000"/>
                <w:kern w:val="0"/>
                <w:sz w:val="16"/>
                <w:szCs w:val="16"/>
                <w:lang w:bidi="ar"/>
              </w:rPr>
              <w:t>无</w:t>
            </w:r>
          </w:p>
        </w:tc>
      </w:tr>
      <w:tr w14:paraId="35341C6F">
        <w:tblPrEx>
          <w:tblCellMar>
            <w:top w:w="0" w:type="dxa"/>
            <w:left w:w="0" w:type="dxa"/>
            <w:bottom w:w="0" w:type="dxa"/>
            <w:right w:w="0" w:type="dxa"/>
          </w:tblCellMar>
        </w:tblPrEx>
        <w:trPr>
          <w:trHeight w:val="270" w:hRule="atLeast"/>
        </w:trPr>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D4F3">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6AF5">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14:paraId="66906872">
        <w:tblPrEx>
          <w:tblCellMar>
            <w:top w:w="0" w:type="dxa"/>
            <w:left w:w="0" w:type="dxa"/>
            <w:bottom w:w="0" w:type="dxa"/>
            <w:right w:w="0" w:type="dxa"/>
          </w:tblCellMar>
        </w:tblPrEx>
        <w:trPr>
          <w:trHeight w:val="270" w:hRule="atLeast"/>
        </w:trPr>
        <w:tc>
          <w:tcPr>
            <w:tcW w:w="494" w:type="dxa"/>
            <w:tcBorders>
              <w:top w:val="nil"/>
              <w:left w:val="nil"/>
              <w:bottom w:val="nil"/>
              <w:right w:val="nil"/>
            </w:tcBorders>
            <w:shd w:val="clear" w:color="auto" w:fill="auto"/>
            <w:tcMar>
              <w:top w:w="15" w:type="dxa"/>
              <w:left w:w="15" w:type="dxa"/>
              <w:right w:w="15" w:type="dxa"/>
            </w:tcMar>
            <w:vAlign w:val="center"/>
          </w:tcPr>
          <w:p w14:paraId="2B33A997">
            <w:pPr>
              <w:rPr>
                <w:rFonts w:hint="eastAsia" w:ascii="宋体" w:hAnsi="宋体" w:cs="宋体"/>
                <w:color w:val="000000"/>
                <w:sz w:val="18"/>
                <w:szCs w:val="18"/>
              </w:rPr>
            </w:pPr>
          </w:p>
        </w:tc>
        <w:tc>
          <w:tcPr>
            <w:tcW w:w="1317" w:type="dxa"/>
            <w:tcBorders>
              <w:top w:val="nil"/>
              <w:left w:val="nil"/>
              <w:bottom w:val="nil"/>
              <w:right w:val="nil"/>
            </w:tcBorders>
            <w:shd w:val="clear" w:color="auto" w:fill="auto"/>
            <w:tcMar>
              <w:top w:w="15" w:type="dxa"/>
              <w:left w:w="15" w:type="dxa"/>
              <w:right w:w="15" w:type="dxa"/>
            </w:tcMar>
            <w:vAlign w:val="center"/>
          </w:tcPr>
          <w:p w14:paraId="77FDC278">
            <w:pPr>
              <w:rPr>
                <w:rFonts w:hint="eastAsia" w:ascii="宋体" w:hAnsi="宋体" w:cs="宋体"/>
                <w:color w:val="000000"/>
                <w:sz w:val="18"/>
                <w:szCs w:val="18"/>
              </w:rPr>
            </w:pPr>
          </w:p>
        </w:tc>
        <w:tc>
          <w:tcPr>
            <w:tcW w:w="809" w:type="dxa"/>
            <w:tcBorders>
              <w:top w:val="nil"/>
              <w:left w:val="nil"/>
              <w:bottom w:val="nil"/>
              <w:right w:val="nil"/>
            </w:tcBorders>
            <w:shd w:val="clear" w:color="auto" w:fill="auto"/>
            <w:tcMar>
              <w:top w:w="15" w:type="dxa"/>
              <w:left w:w="15" w:type="dxa"/>
              <w:right w:w="15" w:type="dxa"/>
            </w:tcMar>
            <w:vAlign w:val="center"/>
          </w:tcPr>
          <w:p w14:paraId="5D1A73C6">
            <w:pPr>
              <w:rPr>
                <w:rFonts w:hint="eastAsia" w:ascii="宋体" w:hAnsi="宋体" w:cs="宋体"/>
                <w:color w:val="000000"/>
                <w:sz w:val="18"/>
                <w:szCs w:val="18"/>
              </w:rPr>
            </w:pPr>
          </w:p>
        </w:tc>
        <w:tc>
          <w:tcPr>
            <w:tcW w:w="1035" w:type="dxa"/>
            <w:tcBorders>
              <w:top w:val="nil"/>
              <w:left w:val="nil"/>
              <w:bottom w:val="nil"/>
              <w:right w:val="nil"/>
            </w:tcBorders>
            <w:shd w:val="clear" w:color="auto" w:fill="auto"/>
            <w:tcMar>
              <w:top w:w="15" w:type="dxa"/>
              <w:left w:w="15" w:type="dxa"/>
              <w:right w:w="15" w:type="dxa"/>
            </w:tcMar>
            <w:vAlign w:val="center"/>
          </w:tcPr>
          <w:p w14:paraId="5AD84846">
            <w:pPr>
              <w:rPr>
                <w:rFonts w:hint="eastAsia" w:ascii="宋体" w:hAnsi="宋体" w:cs="宋体"/>
                <w:color w:val="000000"/>
                <w:sz w:val="18"/>
                <w:szCs w:val="18"/>
              </w:rPr>
            </w:pPr>
          </w:p>
        </w:tc>
        <w:tc>
          <w:tcPr>
            <w:tcW w:w="521" w:type="dxa"/>
            <w:tcBorders>
              <w:top w:val="nil"/>
              <w:left w:val="nil"/>
              <w:bottom w:val="nil"/>
              <w:right w:val="nil"/>
            </w:tcBorders>
            <w:shd w:val="clear" w:color="auto" w:fill="auto"/>
            <w:tcMar>
              <w:top w:w="15" w:type="dxa"/>
              <w:left w:w="15" w:type="dxa"/>
              <w:right w:w="15" w:type="dxa"/>
            </w:tcMar>
            <w:vAlign w:val="center"/>
          </w:tcPr>
          <w:p w14:paraId="36597B00">
            <w:pPr>
              <w:rPr>
                <w:rFonts w:hint="eastAsia" w:ascii="宋体" w:hAnsi="宋体" w:cs="宋体"/>
                <w:color w:val="000000"/>
                <w:sz w:val="18"/>
                <w:szCs w:val="18"/>
              </w:rPr>
            </w:pPr>
          </w:p>
        </w:tc>
        <w:tc>
          <w:tcPr>
            <w:tcW w:w="599" w:type="dxa"/>
            <w:tcBorders>
              <w:top w:val="nil"/>
              <w:left w:val="nil"/>
              <w:bottom w:val="nil"/>
              <w:right w:val="nil"/>
            </w:tcBorders>
            <w:shd w:val="clear" w:color="auto" w:fill="auto"/>
            <w:tcMar>
              <w:top w:w="15" w:type="dxa"/>
              <w:left w:w="15" w:type="dxa"/>
              <w:right w:w="15" w:type="dxa"/>
            </w:tcMar>
            <w:vAlign w:val="center"/>
          </w:tcPr>
          <w:p w14:paraId="21D0731D">
            <w:pPr>
              <w:rPr>
                <w:rFonts w:hint="eastAsia" w:ascii="宋体" w:hAnsi="宋体" w:cs="宋体"/>
                <w:color w:val="000000"/>
                <w:sz w:val="18"/>
                <w:szCs w:val="18"/>
              </w:rPr>
            </w:pPr>
          </w:p>
        </w:tc>
        <w:tc>
          <w:tcPr>
            <w:tcW w:w="520" w:type="dxa"/>
            <w:tcBorders>
              <w:top w:val="nil"/>
              <w:left w:val="nil"/>
              <w:bottom w:val="nil"/>
              <w:right w:val="nil"/>
            </w:tcBorders>
            <w:shd w:val="clear" w:color="auto" w:fill="auto"/>
            <w:tcMar>
              <w:top w:w="15" w:type="dxa"/>
              <w:left w:w="15" w:type="dxa"/>
              <w:right w:w="15" w:type="dxa"/>
            </w:tcMar>
            <w:vAlign w:val="center"/>
          </w:tcPr>
          <w:p w14:paraId="54DCD748">
            <w:pPr>
              <w:rPr>
                <w:rFonts w:hint="eastAsia" w:ascii="宋体" w:hAnsi="宋体" w:cs="宋体"/>
                <w:color w:val="000000"/>
                <w:sz w:val="18"/>
                <w:szCs w:val="18"/>
              </w:rPr>
            </w:pPr>
          </w:p>
        </w:tc>
        <w:tc>
          <w:tcPr>
            <w:tcW w:w="989" w:type="dxa"/>
            <w:tcBorders>
              <w:top w:val="nil"/>
              <w:left w:val="nil"/>
              <w:bottom w:val="nil"/>
              <w:right w:val="nil"/>
            </w:tcBorders>
            <w:shd w:val="clear" w:color="auto" w:fill="auto"/>
            <w:tcMar>
              <w:top w:w="15" w:type="dxa"/>
              <w:left w:w="15" w:type="dxa"/>
              <w:right w:w="15" w:type="dxa"/>
            </w:tcMar>
            <w:vAlign w:val="center"/>
          </w:tcPr>
          <w:p w14:paraId="373BC464">
            <w:pPr>
              <w:rPr>
                <w:rFonts w:hint="eastAsia" w:ascii="宋体" w:hAnsi="宋体" w:cs="宋体"/>
                <w:color w:val="000000"/>
                <w:sz w:val="18"/>
                <w:szCs w:val="18"/>
              </w:rPr>
            </w:pPr>
          </w:p>
        </w:tc>
        <w:tc>
          <w:tcPr>
            <w:tcW w:w="505" w:type="dxa"/>
            <w:tcBorders>
              <w:top w:val="nil"/>
              <w:left w:val="nil"/>
              <w:bottom w:val="nil"/>
              <w:right w:val="nil"/>
            </w:tcBorders>
            <w:shd w:val="clear" w:color="auto" w:fill="auto"/>
            <w:tcMar>
              <w:top w:w="15" w:type="dxa"/>
              <w:left w:w="15" w:type="dxa"/>
              <w:right w:w="15" w:type="dxa"/>
            </w:tcMar>
            <w:vAlign w:val="center"/>
          </w:tcPr>
          <w:p w14:paraId="0AEA0500">
            <w:pPr>
              <w:rPr>
                <w:rFonts w:hint="eastAsia" w:ascii="宋体" w:hAnsi="宋体" w:cs="宋体"/>
                <w:color w:val="000000"/>
                <w:sz w:val="18"/>
                <w:szCs w:val="18"/>
              </w:rPr>
            </w:pPr>
          </w:p>
        </w:tc>
        <w:tc>
          <w:tcPr>
            <w:tcW w:w="456" w:type="dxa"/>
            <w:tcBorders>
              <w:top w:val="nil"/>
              <w:left w:val="nil"/>
              <w:bottom w:val="nil"/>
              <w:right w:val="nil"/>
            </w:tcBorders>
            <w:shd w:val="clear" w:color="auto" w:fill="auto"/>
            <w:tcMar>
              <w:top w:w="15" w:type="dxa"/>
              <w:left w:w="15" w:type="dxa"/>
              <w:right w:w="15" w:type="dxa"/>
            </w:tcMar>
            <w:vAlign w:val="center"/>
          </w:tcPr>
          <w:p w14:paraId="4ECE8E37">
            <w:pPr>
              <w:rPr>
                <w:rFonts w:hint="eastAsia" w:ascii="宋体" w:hAnsi="宋体" w:cs="宋体"/>
                <w:color w:val="000000"/>
                <w:sz w:val="18"/>
                <w:szCs w:val="18"/>
              </w:rPr>
            </w:pPr>
          </w:p>
        </w:tc>
        <w:tc>
          <w:tcPr>
            <w:tcW w:w="1860" w:type="dxa"/>
            <w:tcBorders>
              <w:top w:val="nil"/>
              <w:left w:val="nil"/>
              <w:bottom w:val="nil"/>
              <w:right w:val="nil"/>
            </w:tcBorders>
            <w:shd w:val="clear" w:color="auto" w:fill="auto"/>
            <w:tcMar>
              <w:top w:w="15" w:type="dxa"/>
              <w:left w:w="15" w:type="dxa"/>
              <w:right w:w="15" w:type="dxa"/>
            </w:tcMar>
            <w:vAlign w:val="center"/>
          </w:tcPr>
          <w:p w14:paraId="6532BD2E">
            <w:pPr>
              <w:rPr>
                <w:rFonts w:hint="eastAsia" w:ascii="宋体" w:hAnsi="宋体" w:cs="宋体"/>
                <w:color w:val="000000"/>
                <w:sz w:val="18"/>
                <w:szCs w:val="18"/>
              </w:rPr>
            </w:pPr>
          </w:p>
        </w:tc>
      </w:tr>
      <w:tr w14:paraId="2828EA45">
        <w:tblPrEx>
          <w:tblCellMar>
            <w:top w:w="0" w:type="dxa"/>
            <w:left w:w="0" w:type="dxa"/>
            <w:bottom w:w="0" w:type="dxa"/>
            <w:right w:w="0" w:type="dxa"/>
          </w:tblCellMar>
        </w:tblPrEx>
        <w:trPr>
          <w:trHeight w:val="390" w:hRule="atLeast"/>
        </w:trPr>
        <w:tc>
          <w:tcPr>
            <w:tcW w:w="91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DC58">
            <w:pPr>
              <w:widowControl/>
              <w:jc w:val="center"/>
              <w:textAlignment w:val="center"/>
              <w:rPr>
                <w:rFonts w:hint="eastAsia"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部门预算项目支出绩效自评表（2023年度）</w:t>
            </w:r>
          </w:p>
        </w:tc>
      </w:tr>
      <w:tr w14:paraId="70B8816A">
        <w:tblPrEx>
          <w:tblCellMar>
            <w:top w:w="0" w:type="dxa"/>
            <w:left w:w="0" w:type="dxa"/>
            <w:bottom w:w="0" w:type="dxa"/>
            <w:right w:w="0" w:type="dxa"/>
          </w:tblCellMar>
        </w:tblPrEx>
        <w:trPr>
          <w:trHeight w:val="270" w:hRule="atLeast"/>
        </w:trPr>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2BC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729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AC3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51098124Y000010150983-2023年市本级衔接资金—义务教育学校建档立卡学生教辅资料和学平险补助</w:t>
            </w:r>
          </w:p>
        </w:tc>
      </w:tr>
      <w:tr w14:paraId="0EDB80D7">
        <w:tblPrEx>
          <w:tblCellMar>
            <w:top w:w="0" w:type="dxa"/>
            <w:left w:w="0" w:type="dxa"/>
            <w:bottom w:w="0" w:type="dxa"/>
            <w:right w:w="0" w:type="dxa"/>
          </w:tblCellMar>
        </w:tblPrEx>
        <w:trPr>
          <w:trHeight w:val="450" w:hRule="atLeast"/>
        </w:trPr>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B6D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4A2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射洪市教育和体育局部门</w:t>
            </w:r>
          </w:p>
        </w:tc>
        <w:tc>
          <w:tcPr>
            <w:tcW w:w="989" w:type="dxa"/>
            <w:tcBorders>
              <w:top w:val="nil"/>
              <w:left w:val="nil"/>
              <w:bottom w:val="nil"/>
              <w:right w:val="nil"/>
            </w:tcBorders>
            <w:shd w:val="clear" w:color="auto" w:fill="auto"/>
            <w:tcMar>
              <w:top w:w="15" w:type="dxa"/>
              <w:left w:w="15" w:type="dxa"/>
              <w:right w:w="15" w:type="dxa"/>
            </w:tcMar>
            <w:vAlign w:val="center"/>
          </w:tcPr>
          <w:p w14:paraId="7D9D819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7B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射洪市复兴镇中心小学校</w:t>
            </w:r>
          </w:p>
        </w:tc>
      </w:tr>
      <w:tr w14:paraId="3063532B">
        <w:tblPrEx>
          <w:tblCellMar>
            <w:top w:w="0" w:type="dxa"/>
            <w:left w:w="0" w:type="dxa"/>
            <w:bottom w:w="0" w:type="dxa"/>
            <w:right w:w="0" w:type="dxa"/>
          </w:tblCellMar>
        </w:tblPrEx>
        <w:trPr>
          <w:trHeight w:val="2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691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291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5F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66D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E46F8E3">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5A08">
            <w:pPr>
              <w:rPr>
                <w:rFonts w:hint="eastAsia" w:ascii="宋体" w:hAnsi="宋体" w:cs="宋体"/>
                <w:color w:val="000000"/>
                <w:sz w:val="18"/>
                <w:szCs w:val="18"/>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D4B4">
            <w:pPr>
              <w:rPr>
                <w:rFonts w:hint="eastAsia" w:ascii="宋体" w:hAnsi="宋体" w:cs="宋体"/>
                <w:color w:val="000000"/>
                <w:sz w:val="18"/>
                <w:szCs w:val="18"/>
              </w:rPr>
            </w:pPr>
          </w:p>
        </w:tc>
        <w:tc>
          <w:tcPr>
            <w:tcW w:w="348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B1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义务教育学校建档立卡学生教辅资料和学平险补助</w:t>
            </w:r>
            <w:r>
              <w:rPr>
                <w:rFonts w:hint="eastAsia" w:ascii="宋体" w:hAnsi="宋体" w:cs="宋体"/>
                <w:color w:val="000000"/>
                <w:kern w:val="0"/>
                <w:sz w:val="18"/>
                <w:szCs w:val="18"/>
                <w:lang w:bidi="ar"/>
              </w:rPr>
              <w:t>。</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85CD">
            <w:pPr>
              <w:widowControl/>
              <w:jc w:val="left"/>
              <w:textAlignment w:val="center"/>
              <w:rPr>
                <w:rFonts w:hint="eastAsia" w:ascii="黑体" w:hAnsi="黑体" w:eastAsia="黑体" w:cs="黑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义务教育学校建档立卡学生教辅资料和学平险补助</w:t>
            </w:r>
            <w:r>
              <w:rPr>
                <w:rFonts w:hint="eastAsia" w:ascii="宋体" w:hAnsi="宋体" w:cs="宋体"/>
                <w:color w:val="000000"/>
                <w:kern w:val="0"/>
                <w:sz w:val="18"/>
                <w:szCs w:val="18"/>
                <w:lang w:bidi="ar"/>
              </w:rPr>
              <w:t>。</w:t>
            </w:r>
          </w:p>
        </w:tc>
      </w:tr>
      <w:tr w14:paraId="11283137">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207D">
            <w:pP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375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9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264D">
            <w:pPr>
              <w:rPr>
                <w:rFonts w:hint="eastAsia" w:ascii="宋体" w:hAnsi="宋体" w:cs="宋体"/>
                <w:color w:val="000000"/>
                <w:sz w:val="18"/>
                <w:szCs w:val="18"/>
              </w:rPr>
            </w:pPr>
          </w:p>
        </w:tc>
      </w:tr>
      <w:tr w14:paraId="174D611A">
        <w:tblPrEx>
          <w:tblCellMar>
            <w:top w:w="0" w:type="dxa"/>
            <w:left w:w="0" w:type="dxa"/>
            <w:bottom w:w="0" w:type="dxa"/>
            <w:right w:w="0" w:type="dxa"/>
          </w:tblCellMar>
        </w:tblPrEx>
        <w:trPr>
          <w:trHeight w:val="45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CB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EA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330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EE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BB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2E4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0C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69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C3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338CD014">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EBE1">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CA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F1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94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0.66</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67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0.66</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E41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99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0783D">
            <w:pPr>
              <w:jc w:val="center"/>
              <w:rPr>
                <w:rFonts w:hint="eastAsia" w:ascii="宋体" w:hAnsi="宋体" w:cs="宋体"/>
                <w:color w:val="000000"/>
                <w:sz w:val="18"/>
                <w:szCs w:val="18"/>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70AF">
            <w:pPr>
              <w:widowControl/>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w:t>
            </w:r>
            <w:r>
              <w:rPr>
                <w:rFonts w:hint="eastAsia" w:ascii="黑体" w:hAnsi="黑体" w:eastAsia="黑体" w:cs="黑体"/>
                <w:i/>
                <w:color w:val="000000"/>
                <w:kern w:val="0"/>
                <w:sz w:val="18"/>
                <w:szCs w:val="18"/>
                <w:lang w:eastAsia="zh-CN" w:bidi="ar"/>
              </w:rPr>
              <w:t>；</w:t>
            </w:r>
            <w:r>
              <w:rPr>
                <w:rFonts w:hint="eastAsia" w:ascii="黑体" w:hAnsi="黑体" w:eastAsia="黑体" w:cs="黑体"/>
                <w:i/>
                <w:color w:val="000000"/>
                <w:kern w:val="0"/>
                <w:sz w:val="18"/>
                <w:szCs w:val="18"/>
                <w:lang w:bidi="ar"/>
              </w:rPr>
              <w:t>2.年中发生预算调整的（追加或调减）</w:t>
            </w:r>
            <w:r>
              <w:rPr>
                <w:rFonts w:hint="eastAsia" w:ascii="黑体" w:hAnsi="黑体" w:eastAsia="黑体" w:cs="黑体"/>
                <w:i/>
                <w:color w:val="000000"/>
                <w:kern w:val="0"/>
                <w:sz w:val="18"/>
                <w:szCs w:val="18"/>
                <w:lang w:eastAsia="zh-CN" w:bidi="ar"/>
              </w:rPr>
              <w:t>，</w:t>
            </w:r>
            <w:r>
              <w:rPr>
                <w:rFonts w:hint="eastAsia" w:ascii="黑体" w:hAnsi="黑体" w:eastAsia="黑体" w:cs="黑体"/>
                <w:i/>
                <w:color w:val="000000"/>
                <w:kern w:val="0"/>
                <w:sz w:val="18"/>
                <w:szCs w:val="18"/>
                <w:lang w:bidi="ar"/>
              </w:rPr>
              <w:t>应单独说明理由；3.其他资金包括：社会投入资金、银行贷款.</w:t>
            </w:r>
          </w:p>
        </w:tc>
      </w:tr>
      <w:tr w14:paraId="534B71D5">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5553">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24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CE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AB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0.66</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E1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0.66</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17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13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8D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7F90">
            <w:pPr>
              <w:rPr>
                <w:rFonts w:hint="eastAsia" w:ascii="黑体" w:hAnsi="黑体" w:eastAsia="黑体" w:cs="黑体"/>
                <w:i/>
                <w:color w:val="000000"/>
                <w:sz w:val="18"/>
                <w:szCs w:val="18"/>
              </w:rPr>
            </w:pPr>
          </w:p>
        </w:tc>
      </w:tr>
      <w:tr w14:paraId="4FBA8444">
        <w:tblPrEx>
          <w:tblCellMar>
            <w:top w:w="0" w:type="dxa"/>
            <w:left w:w="0" w:type="dxa"/>
            <w:bottom w:w="0" w:type="dxa"/>
            <w:right w:w="0" w:type="dxa"/>
          </w:tblCellMar>
        </w:tblPrEx>
        <w:trPr>
          <w:trHeight w:val="4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CCE7">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369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94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D8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BB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24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C4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BE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7DFF">
            <w:pPr>
              <w:rPr>
                <w:rFonts w:hint="eastAsia" w:ascii="黑体" w:hAnsi="黑体" w:eastAsia="黑体" w:cs="黑体"/>
                <w:i/>
                <w:color w:val="000000"/>
                <w:sz w:val="18"/>
                <w:szCs w:val="18"/>
              </w:rPr>
            </w:pPr>
          </w:p>
        </w:tc>
      </w:tr>
      <w:tr w14:paraId="189BC93D">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FC72">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6F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721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06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7C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5E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CF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09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FF82">
            <w:pPr>
              <w:rPr>
                <w:rFonts w:hint="eastAsia" w:ascii="黑体" w:hAnsi="黑体" w:eastAsia="黑体" w:cs="黑体"/>
                <w:i/>
                <w:color w:val="000000"/>
                <w:sz w:val="18"/>
                <w:szCs w:val="18"/>
              </w:rPr>
            </w:pPr>
          </w:p>
        </w:tc>
      </w:tr>
      <w:tr w14:paraId="46264EDD">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E6AE">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59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8D34">
            <w:pPr>
              <w:jc w:val="center"/>
              <w:rPr>
                <w:rFonts w:hint="eastAsia" w:ascii="微软雅黑" w:hAnsi="微软雅黑" w:eastAsia="微软雅黑" w:cs="微软雅黑"/>
                <w:i/>
                <w:color w:val="000000"/>
                <w:sz w:val="16"/>
                <w:szCs w:val="1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DE07">
            <w:pPr>
              <w:jc w:val="center"/>
              <w:rPr>
                <w:rFonts w:hint="eastAsia" w:ascii="微软雅黑" w:hAnsi="微软雅黑" w:eastAsia="微软雅黑" w:cs="微软雅黑"/>
                <w:i/>
                <w:color w:val="000000"/>
                <w:sz w:val="16"/>
                <w:szCs w:val="16"/>
              </w:rPr>
            </w:pP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A016">
            <w:pPr>
              <w:jc w:val="center"/>
              <w:rPr>
                <w:rFonts w:hint="eastAsia" w:ascii="微软雅黑" w:hAnsi="微软雅黑" w:eastAsia="微软雅黑" w:cs="微软雅黑"/>
                <w:i/>
                <w:color w:val="000000"/>
                <w:sz w:val="16"/>
                <w:szCs w:val="16"/>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5B6A">
            <w:pPr>
              <w:jc w:val="center"/>
              <w:rPr>
                <w:rFonts w:hint="eastAsia"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A8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C2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3B29">
            <w:pPr>
              <w:rPr>
                <w:rFonts w:hint="eastAsia" w:ascii="黑体" w:hAnsi="黑体" w:eastAsia="黑体" w:cs="黑体"/>
                <w:i/>
                <w:color w:val="000000"/>
                <w:sz w:val="18"/>
                <w:szCs w:val="18"/>
              </w:rPr>
            </w:pPr>
          </w:p>
        </w:tc>
      </w:tr>
      <w:tr w14:paraId="3BE94D0B">
        <w:tblPrEx>
          <w:tblCellMar>
            <w:top w:w="0" w:type="dxa"/>
            <w:left w:w="0" w:type="dxa"/>
            <w:bottom w:w="0" w:type="dxa"/>
            <w:right w:w="0" w:type="dxa"/>
          </w:tblCellMar>
        </w:tblPrEx>
        <w:trPr>
          <w:trHeight w:val="45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4C4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16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2C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ED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EE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33F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E5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92F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75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82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404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4A18206">
        <w:tblPrEx>
          <w:tblCellMar>
            <w:top w:w="0" w:type="dxa"/>
            <w:left w:w="0" w:type="dxa"/>
            <w:bottom w:w="0" w:type="dxa"/>
            <w:right w:w="0" w:type="dxa"/>
          </w:tblCellMar>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82A8">
            <w:pPr>
              <w:jc w:val="center"/>
              <w:rPr>
                <w:rFonts w:hint="eastAsia" w:ascii="宋体" w:hAnsi="宋体" w:cs="宋体"/>
                <w:color w:val="000000"/>
                <w:sz w:val="18"/>
                <w:szCs w:val="18"/>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0A79">
            <w:pPr>
              <w:jc w:val="center"/>
              <w:rPr>
                <w:rFonts w:hint="eastAsia" w:ascii="宋体" w:hAnsi="宋体" w:cs="宋体"/>
                <w:color w:val="000000"/>
                <w:sz w:val="18"/>
                <w:szCs w:val="18"/>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9A94">
            <w:pPr>
              <w:jc w:val="center"/>
              <w:rPr>
                <w:rFonts w:hint="eastAsia"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6E0BB">
            <w:pPr>
              <w:jc w:val="center"/>
              <w:rPr>
                <w:rFonts w:hint="eastAsia" w:ascii="宋体" w:hAnsi="宋体" w:cs="宋体"/>
                <w:color w:val="000000"/>
                <w:sz w:val="18"/>
                <w:szCs w:val="18"/>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2BEC">
            <w:pPr>
              <w:jc w:val="center"/>
              <w:rPr>
                <w:rFonts w:hint="eastAsia" w:ascii="宋体" w:hAnsi="宋体" w:cs="宋体"/>
                <w:color w:val="000000"/>
                <w:sz w:val="18"/>
                <w:szCs w:val="18"/>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A2DF">
            <w:pPr>
              <w:jc w:val="center"/>
              <w:rPr>
                <w:rFonts w:hint="eastAsia" w:ascii="宋体" w:hAnsi="宋体" w:cs="宋体"/>
                <w:color w:val="000000"/>
                <w:sz w:val="18"/>
                <w:szCs w:val="18"/>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304F">
            <w:pPr>
              <w:jc w:val="center"/>
              <w:rPr>
                <w:rFonts w:hint="eastAsia"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24BB">
            <w:pPr>
              <w:jc w:val="center"/>
              <w:rPr>
                <w:rFonts w:hint="eastAsia"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1891">
            <w:pPr>
              <w:jc w:val="center"/>
              <w:rPr>
                <w:rFonts w:hint="eastAsia" w:ascii="宋体" w:hAnsi="宋体" w:cs="宋体"/>
                <w:color w:val="000000"/>
                <w:sz w:val="18"/>
                <w:szCs w:val="18"/>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251A">
            <w:pPr>
              <w:jc w:val="center"/>
              <w:rPr>
                <w:rFonts w:hint="eastAsia" w:ascii="宋体" w:hAnsi="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39A6">
            <w:pPr>
              <w:jc w:val="center"/>
              <w:rPr>
                <w:rFonts w:hint="eastAsia" w:ascii="微软雅黑" w:hAnsi="微软雅黑" w:eastAsia="微软雅黑" w:cs="微软雅黑"/>
                <w:i/>
                <w:color w:val="000000"/>
                <w:sz w:val="16"/>
                <w:szCs w:val="16"/>
              </w:rPr>
            </w:pPr>
          </w:p>
        </w:tc>
      </w:tr>
      <w:tr w14:paraId="793EE2AE">
        <w:tblPrEx>
          <w:tblCellMar>
            <w:top w:w="0" w:type="dxa"/>
            <w:left w:w="0" w:type="dxa"/>
            <w:bottom w:w="0" w:type="dxa"/>
            <w:right w:w="0" w:type="dxa"/>
          </w:tblCellMar>
        </w:tblPrEx>
        <w:trPr>
          <w:trHeight w:val="270" w:hRule="atLeast"/>
        </w:trPr>
        <w:tc>
          <w:tcPr>
            <w:tcW w:w="628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0F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5E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426C">
            <w:pPr>
              <w:rPr>
                <w:rFonts w:hint="eastAsia" w:ascii="宋体" w:hAnsi="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EFE5">
            <w:pPr>
              <w:rPr>
                <w:rFonts w:hint="eastAsia" w:ascii="宋体" w:hAnsi="宋体" w:cs="宋体"/>
                <w:color w:val="000000"/>
                <w:sz w:val="18"/>
                <w:szCs w:val="18"/>
              </w:rPr>
            </w:pPr>
          </w:p>
        </w:tc>
      </w:tr>
      <w:tr w14:paraId="77AAF7B0">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19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EF22">
            <w:pPr>
              <w:widowControl/>
              <w:jc w:val="left"/>
              <w:textAlignment w:val="center"/>
              <w:rPr>
                <w:rFonts w:hint="eastAsia" w:ascii="微软雅黑" w:hAnsi="微软雅黑" w:eastAsia="微软雅黑" w:cs="微软雅黑"/>
                <w:i/>
                <w:color w:val="000000"/>
                <w:sz w:val="16"/>
                <w:szCs w:val="16"/>
              </w:rPr>
            </w:pPr>
            <w:r>
              <w:rPr>
                <w:rFonts w:hint="eastAsia" w:ascii="宋体" w:hAnsi="宋体" w:cs="宋体"/>
                <w:color w:val="000000"/>
                <w:kern w:val="0"/>
                <w:sz w:val="18"/>
                <w:szCs w:val="18"/>
                <w:lang w:bidi="ar"/>
              </w:rPr>
              <w:t>该项资金预算执行率为100%，本项目的经费严格按照资金管理使用办法支出的范围使用。统一核算，按照项目计划安排和实际工作情况开支，做到了专款专用。</w:t>
            </w:r>
          </w:p>
        </w:tc>
      </w:tr>
      <w:tr w14:paraId="0728D010">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23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3799">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iCs/>
                <w:color w:val="000000"/>
                <w:kern w:val="0"/>
                <w:sz w:val="16"/>
                <w:szCs w:val="16"/>
                <w:lang w:bidi="ar"/>
              </w:rPr>
              <w:t>无</w:t>
            </w:r>
          </w:p>
        </w:tc>
      </w:tr>
      <w:tr w14:paraId="79226C9C">
        <w:tblPrEx>
          <w:tblCellMar>
            <w:top w:w="0" w:type="dxa"/>
            <w:left w:w="0" w:type="dxa"/>
            <w:bottom w:w="0" w:type="dxa"/>
            <w:right w:w="0" w:type="dxa"/>
          </w:tblCellMar>
        </w:tblPrEx>
        <w:trPr>
          <w:trHeight w:val="4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A3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861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37C6">
            <w:pPr>
              <w:widowControl/>
              <w:jc w:val="left"/>
              <w:textAlignment w:val="center"/>
              <w:rPr>
                <w:rFonts w:hint="eastAsia" w:ascii="微软雅黑" w:hAnsi="微软雅黑" w:eastAsia="微软雅黑" w:cs="微软雅黑"/>
                <w:i/>
                <w:color w:val="000000"/>
                <w:sz w:val="16"/>
                <w:szCs w:val="16"/>
              </w:rPr>
            </w:pPr>
            <w:r>
              <w:rPr>
                <w:rFonts w:hint="eastAsia" w:ascii="微软雅黑" w:hAnsi="微软雅黑" w:eastAsia="微软雅黑" w:cs="微软雅黑"/>
                <w:i/>
                <w:iCs/>
                <w:color w:val="000000"/>
                <w:kern w:val="0"/>
                <w:sz w:val="16"/>
                <w:szCs w:val="16"/>
                <w:lang w:bidi="ar"/>
              </w:rPr>
              <w:t>无</w:t>
            </w:r>
          </w:p>
        </w:tc>
      </w:tr>
      <w:tr w14:paraId="0FA540C7">
        <w:tblPrEx>
          <w:tblCellMar>
            <w:top w:w="0" w:type="dxa"/>
            <w:left w:w="0" w:type="dxa"/>
            <w:bottom w:w="0" w:type="dxa"/>
            <w:right w:w="0" w:type="dxa"/>
          </w:tblCellMar>
        </w:tblPrEx>
        <w:trPr>
          <w:trHeight w:val="270" w:hRule="atLeast"/>
        </w:trPr>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9A0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9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D408">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14:paraId="76D5951E">
        <w:tblPrEx>
          <w:tblCellMar>
            <w:top w:w="0" w:type="dxa"/>
            <w:left w:w="0" w:type="dxa"/>
            <w:bottom w:w="0" w:type="dxa"/>
            <w:right w:w="0" w:type="dxa"/>
          </w:tblCellMar>
        </w:tblPrEx>
        <w:trPr>
          <w:trHeight w:val="270" w:hRule="atLeast"/>
        </w:trPr>
        <w:tc>
          <w:tcPr>
            <w:tcW w:w="494" w:type="dxa"/>
            <w:tcBorders>
              <w:top w:val="nil"/>
              <w:left w:val="nil"/>
              <w:bottom w:val="nil"/>
              <w:right w:val="nil"/>
            </w:tcBorders>
            <w:shd w:val="clear" w:color="auto" w:fill="auto"/>
            <w:tcMar>
              <w:top w:w="15" w:type="dxa"/>
              <w:left w:w="15" w:type="dxa"/>
              <w:right w:w="15" w:type="dxa"/>
            </w:tcMar>
            <w:vAlign w:val="center"/>
          </w:tcPr>
          <w:p w14:paraId="51B2CE29">
            <w:pPr>
              <w:rPr>
                <w:rFonts w:hint="eastAsia" w:ascii="宋体" w:hAnsi="宋体" w:cs="宋体"/>
                <w:color w:val="000000"/>
                <w:sz w:val="18"/>
                <w:szCs w:val="18"/>
              </w:rPr>
            </w:pPr>
          </w:p>
        </w:tc>
        <w:tc>
          <w:tcPr>
            <w:tcW w:w="1317" w:type="dxa"/>
            <w:tcBorders>
              <w:top w:val="nil"/>
              <w:left w:val="nil"/>
              <w:bottom w:val="nil"/>
              <w:right w:val="nil"/>
            </w:tcBorders>
            <w:shd w:val="clear" w:color="auto" w:fill="auto"/>
            <w:tcMar>
              <w:top w:w="15" w:type="dxa"/>
              <w:left w:w="15" w:type="dxa"/>
              <w:right w:w="15" w:type="dxa"/>
            </w:tcMar>
            <w:vAlign w:val="center"/>
          </w:tcPr>
          <w:p w14:paraId="539BD9C1">
            <w:pPr>
              <w:rPr>
                <w:rFonts w:hint="eastAsia" w:ascii="宋体" w:hAnsi="宋体" w:cs="宋体"/>
                <w:color w:val="000000"/>
                <w:sz w:val="18"/>
                <w:szCs w:val="18"/>
              </w:rPr>
            </w:pPr>
          </w:p>
        </w:tc>
        <w:tc>
          <w:tcPr>
            <w:tcW w:w="809" w:type="dxa"/>
            <w:tcBorders>
              <w:top w:val="nil"/>
              <w:left w:val="nil"/>
              <w:bottom w:val="nil"/>
              <w:right w:val="nil"/>
            </w:tcBorders>
            <w:shd w:val="clear" w:color="auto" w:fill="auto"/>
            <w:tcMar>
              <w:top w:w="15" w:type="dxa"/>
              <w:left w:w="15" w:type="dxa"/>
              <w:right w:w="15" w:type="dxa"/>
            </w:tcMar>
            <w:vAlign w:val="center"/>
          </w:tcPr>
          <w:p w14:paraId="1CFD994E">
            <w:pPr>
              <w:rPr>
                <w:rFonts w:hint="eastAsia" w:ascii="宋体" w:hAnsi="宋体" w:cs="宋体"/>
                <w:color w:val="000000"/>
                <w:sz w:val="18"/>
                <w:szCs w:val="18"/>
              </w:rPr>
            </w:pPr>
          </w:p>
        </w:tc>
        <w:tc>
          <w:tcPr>
            <w:tcW w:w="1035" w:type="dxa"/>
            <w:tcBorders>
              <w:top w:val="nil"/>
              <w:left w:val="nil"/>
              <w:bottom w:val="nil"/>
              <w:right w:val="nil"/>
            </w:tcBorders>
            <w:shd w:val="clear" w:color="auto" w:fill="auto"/>
            <w:tcMar>
              <w:top w:w="15" w:type="dxa"/>
              <w:left w:w="15" w:type="dxa"/>
              <w:right w:w="15" w:type="dxa"/>
            </w:tcMar>
            <w:vAlign w:val="center"/>
          </w:tcPr>
          <w:p w14:paraId="47EF1728">
            <w:pPr>
              <w:rPr>
                <w:rFonts w:hint="eastAsia" w:ascii="宋体" w:hAnsi="宋体" w:cs="宋体"/>
                <w:color w:val="000000"/>
                <w:sz w:val="18"/>
                <w:szCs w:val="18"/>
              </w:rPr>
            </w:pPr>
          </w:p>
        </w:tc>
        <w:tc>
          <w:tcPr>
            <w:tcW w:w="521" w:type="dxa"/>
            <w:tcBorders>
              <w:top w:val="nil"/>
              <w:left w:val="nil"/>
              <w:bottom w:val="nil"/>
              <w:right w:val="nil"/>
            </w:tcBorders>
            <w:shd w:val="clear" w:color="auto" w:fill="auto"/>
            <w:tcMar>
              <w:top w:w="15" w:type="dxa"/>
              <w:left w:w="15" w:type="dxa"/>
              <w:right w:w="15" w:type="dxa"/>
            </w:tcMar>
            <w:vAlign w:val="center"/>
          </w:tcPr>
          <w:p w14:paraId="3A5840DC">
            <w:pPr>
              <w:rPr>
                <w:rFonts w:hint="eastAsia" w:ascii="宋体" w:hAnsi="宋体" w:cs="宋体"/>
                <w:color w:val="000000"/>
                <w:sz w:val="18"/>
                <w:szCs w:val="18"/>
              </w:rPr>
            </w:pPr>
          </w:p>
        </w:tc>
        <w:tc>
          <w:tcPr>
            <w:tcW w:w="599" w:type="dxa"/>
            <w:tcBorders>
              <w:top w:val="nil"/>
              <w:left w:val="nil"/>
              <w:bottom w:val="nil"/>
              <w:right w:val="nil"/>
            </w:tcBorders>
            <w:shd w:val="clear" w:color="auto" w:fill="auto"/>
            <w:tcMar>
              <w:top w:w="15" w:type="dxa"/>
              <w:left w:w="15" w:type="dxa"/>
              <w:right w:w="15" w:type="dxa"/>
            </w:tcMar>
            <w:vAlign w:val="center"/>
          </w:tcPr>
          <w:p w14:paraId="66BCFDE7">
            <w:pPr>
              <w:rPr>
                <w:rFonts w:hint="eastAsia" w:ascii="宋体" w:hAnsi="宋体" w:cs="宋体"/>
                <w:color w:val="000000"/>
                <w:sz w:val="18"/>
                <w:szCs w:val="18"/>
              </w:rPr>
            </w:pPr>
          </w:p>
        </w:tc>
        <w:tc>
          <w:tcPr>
            <w:tcW w:w="520" w:type="dxa"/>
            <w:tcBorders>
              <w:top w:val="nil"/>
              <w:left w:val="nil"/>
              <w:bottom w:val="nil"/>
              <w:right w:val="nil"/>
            </w:tcBorders>
            <w:shd w:val="clear" w:color="auto" w:fill="auto"/>
            <w:tcMar>
              <w:top w:w="15" w:type="dxa"/>
              <w:left w:w="15" w:type="dxa"/>
              <w:right w:w="15" w:type="dxa"/>
            </w:tcMar>
            <w:vAlign w:val="center"/>
          </w:tcPr>
          <w:p w14:paraId="7B6579C8">
            <w:pPr>
              <w:rPr>
                <w:rFonts w:hint="eastAsia" w:ascii="宋体" w:hAnsi="宋体" w:cs="宋体"/>
                <w:color w:val="000000"/>
                <w:sz w:val="18"/>
                <w:szCs w:val="18"/>
              </w:rPr>
            </w:pPr>
          </w:p>
        </w:tc>
        <w:tc>
          <w:tcPr>
            <w:tcW w:w="989" w:type="dxa"/>
            <w:tcBorders>
              <w:top w:val="nil"/>
              <w:left w:val="nil"/>
              <w:bottom w:val="nil"/>
              <w:right w:val="nil"/>
            </w:tcBorders>
            <w:shd w:val="clear" w:color="auto" w:fill="auto"/>
            <w:tcMar>
              <w:top w:w="15" w:type="dxa"/>
              <w:left w:w="15" w:type="dxa"/>
              <w:right w:w="15" w:type="dxa"/>
            </w:tcMar>
            <w:vAlign w:val="center"/>
          </w:tcPr>
          <w:p w14:paraId="7EFDD8F3">
            <w:pPr>
              <w:rPr>
                <w:rFonts w:hint="eastAsia" w:ascii="宋体" w:hAnsi="宋体" w:cs="宋体"/>
                <w:color w:val="000000"/>
                <w:sz w:val="18"/>
                <w:szCs w:val="18"/>
              </w:rPr>
            </w:pPr>
          </w:p>
        </w:tc>
        <w:tc>
          <w:tcPr>
            <w:tcW w:w="505" w:type="dxa"/>
            <w:tcBorders>
              <w:top w:val="nil"/>
              <w:left w:val="nil"/>
              <w:bottom w:val="nil"/>
              <w:right w:val="nil"/>
            </w:tcBorders>
            <w:shd w:val="clear" w:color="auto" w:fill="auto"/>
            <w:tcMar>
              <w:top w:w="15" w:type="dxa"/>
              <w:left w:w="15" w:type="dxa"/>
              <w:right w:w="15" w:type="dxa"/>
            </w:tcMar>
            <w:vAlign w:val="center"/>
          </w:tcPr>
          <w:p w14:paraId="6B78E6AC">
            <w:pPr>
              <w:rPr>
                <w:rFonts w:hint="eastAsia" w:ascii="宋体" w:hAnsi="宋体" w:cs="宋体"/>
                <w:color w:val="000000"/>
                <w:sz w:val="18"/>
                <w:szCs w:val="18"/>
              </w:rPr>
            </w:pPr>
          </w:p>
        </w:tc>
        <w:tc>
          <w:tcPr>
            <w:tcW w:w="456" w:type="dxa"/>
            <w:tcBorders>
              <w:top w:val="nil"/>
              <w:left w:val="nil"/>
              <w:bottom w:val="nil"/>
              <w:right w:val="nil"/>
            </w:tcBorders>
            <w:shd w:val="clear" w:color="auto" w:fill="auto"/>
            <w:tcMar>
              <w:top w:w="15" w:type="dxa"/>
              <w:left w:w="15" w:type="dxa"/>
              <w:right w:w="15" w:type="dxa"/>
            </w:tcMar>
            <w:vAlign w:val="center"/>
          </w:tcPr>
          <w:p w14:paraId="18365331">
            <w:pPr>
              <w:rPr>
                <w:rFonts w:hint="eastAsia" w:ascii="宋体" w:hAnsi="宋体" w:cs="宋体"/>
                <w:color w:val="000000"/>
                <w:sz w:val="18"/>
                <w:szCs w:val="18"/>
              </w:rPr>
            </w:pPr>
          </w:p>
        </w:tc>
        <w:tc>
          <w:tcPr>
            <w:tcW w:w="1860" w:type="dxa"/>
            <w:tcBorders>
              <w:top w:val="nil"/>
              <w:left w:val="nil"/>
              <w:bottom w:val="nil"/>
              <w:right w:val="nil"/>
            </w:tcBorders>
            <w:shd w:val="clear" w:color="auto" w:fill="auto"/>
            <w:tcMar>
              <w:top w:w="15" w:type="dxa"/>
              <w:left w:w="15" w:type="dxa"/>
              <w:right w:w="15" w:type="dxa"/>
            </w:tcMar>
            <w:vAlign w:val="center"/>
          </w:tcPr>
          <w:p w14:paraId="77223845">
            <w:pPr>
              <w:rPr>
                <w:rFonts w:hint="eastAsia" w:ascii="宋体" w:hAnsi="宋体" w:cs="宋体"/>
                <w:color w:val="000000"/>
                <w:sz w:val="18"/>
                <w:szCs w:val="18"/>
              </w:rPr>
            </w:pPr>
          </w:p>
        </w:tc>
      </w:tr>
      <w:tr w14:paraId="2D837F07">
        <w:tblPrEx>
          <w:tblCellMar>
            <w:top w:w="0" w:type="dxa"/>
            <w:left w:w="0" w:type="dxa"/>
            <w:bottom w:w="0" w:type="dxa"/>
            <w:right w:w="0" w:type="dxa"/>
          </w:tblCellMar>
        </w:tblPrEx>
        <w:trPr>
          <w:trHeight w:val="270" w:hRule="atLeast"/>
        </w:trPr>
        <w:tc>
          <w:tcPr>
            <w:tcW w:w="9105" w:type="dxa"/>
            <w:gridSpan w:val="11"/>
            <w:tcBorders>
              <w:top w:val="nil"/>
              <w:left w:val="nil"/>
              <w:bottom w:val="nil"/>
              <w:right w:val="nil"/>
            </w:tcBorders>
            <w:shd w:val="clear" w:color="auto" w:fill="auto"/>
            <w:tcMar>
              <w:top w:w="15" w:type="dxa"/>
              <w:left w:w="15" w:type="dxa"/>
              <w:right w:w="15" w:type="dxa"/>
            </w:tcMar>
            <w:vAlign w:val="center"/>
          </w:tcPr>
          <w:p w14:paraId="7AC6890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1、报表说明</w:t>
            </w:r>
            <w:r>
              <w:rPr>
                <w:rFonts w:hint="eastAsia" w:ascii="宋体" w:hAnsi="宋体" w:cs="宋体"/>
                <w:color w:val="000000"/>
                <w:kern w:val="0"/>
                <w:sz w:val="18"/>
                <w:szCs w:val="18"/>
                <w:lang w:eastAsia="zh-CN" w:bidi="ar"/>
              </w:rPr>
              <w:t>：</w:t>
            </w:r>
            <w:r>
              <w:rPr>
                <w:rFonts w:ascii="宋体" w:hAnsi="宋体" w:cs="宋体"/>
                <w:color w:val="000000"/>
                <w:kern w:val="0"/>
                <w:sz w:val="18"/>
                <w:szCs w:val="18"/>
                <w:lang w:bidi="ar"/>
              </w:rPr>
              <w:t>该报表查询项目信息、绩效目标信息、预算及执行情况，用于预算单位查询导出开展项目自评。</w:t>
            </w:r>
          </w:p>
        </w:tc>
      </w:tr>
      <w:tr w14:paraId="0D09776C">
        <w:tblPrEx>
          <w:tblCellMar>
            <w:top w:w="0" w:type="dxa"/>
            <w:left w:w="0" w:type="dxa"/>
            <w:bottom w:w="0" w:type="dxa"/>
            <w:right w:w="0" w:type="dxa"/>
          </w:tblCellMar>
        </w:tblPrEx>
        <w:trPr>
          <w:trHeight w:val="270" w:hRule="atLeast"/>
        </w:trPr>
        <w:tc>
          <w:tcPr>
            <w:tcW w:w="9105" w:type="dxa"/>
            <w:gridSpan w:val="11"/>
            <w:tcBorders>
              <w:top w:val="nil"/>
              <w:left w:val="nil"/>
              <w:bottom w:val="nil"/>
              <w:right w:val="nil"/>
            </w:tcBorders>
            <w:shd w:val="clear" w:color="auto" w:fill="auto"/>
            <w:tcMar>
              <w:top w:w="15" w:type="dxa"/>
              <w:left w:w="15" w:type="dxa"/>
              <w:right w:w="15" w:type="dxa"/>
            </w:tcMar>
            <w:vAlign w:val="center"/>
          </w:tcPr>
          <w:p w14:paraId="28ACECE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2、取数口径：部门项目绩效目标表信息，包括年初预算、追加预算、结转预算和调整预算的绩效目标（以项目的最终绩效目标为准）。</w:t>
            </w:r>
          </w:p>
        </w:tc>
      </w:tr>
      <w:tr w14:paraId="3F61ED77">
        <w:tblPrEx>
          <w:tblCellMar>
            <w:top w:w="0" w:type="dxa"/>
            <w:left w:w="0" w:type="dxa"/>
            <w:bottom w:w="0" w:type="dxa"/>
            <w:right w:w="0" w:type="dxa"/>
          </w:tblCellMar>
        </w:tblPrEx>
        <w:trPr>
          <w:trHeight w:val="270" w:hRule="atLeast"/>
        </w:trPr>
        <w:tc>
          <w:tcPr>
            <w:tcW w:w="9105" w:type="dxa"/>
            <w:gridSpan w:val="11"/>
            <w:tcBorders>
              <w:top w:val="nil"/>
              <w:left w:val="nil"/>
              <w:bottom w:val="nil"/>
              <w:right w:val="nil"/>
            </w:tcBorders>
            <w:shd w:val="clear" w:color="auto" w:fill="auto"/>
            <w:tcMar>
              <w:top w:w="15" w:type="dxa"/>
              <w:left w:w="15" w:type="dxa"/>
              <w:right w:w="15" w:type="dxa"/>
            </w:tcMar>
            <w:vAlign w:val="center"/>
          </w:tcPr>
          <w:p w14:paraId="3F37165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适用地区：全省范围</w:t>
            </w:r>
          </w:p>
        </w:tc>
      </w:tr>
      <w:tr w14:paraId="63424C48">
        <w:tblPrEx>
          <w:tblCellMar>
            <w:top w:w="0" w:type="dxa"/>
            <w:left w:w="0" w:type="dxa"/>
            <w:bottom w:w="0" w:type="dxa"/>
            <w:right w:w="0" w:type="dxa"/>
          </w:tblCellMar>
        </w:tblPrEx>
        <w:trPr>
          <w:trHeight w:val="270" w:hRule="atLeast"/>
        </w:trPr>
        <w:tc>
          <w:tcPr>
            <w:tcW w:w="9105" w:type="dxa"/>
            <w:gridSpan w:val="11"/>
            <w:tcBorders>
              <w:top w:val="nil"/>
              <w:left w:val="nil"/>
              <w:bottom w:val="nil"/>
              <w:right w:val="nil"/>
            </w:tcBorders>
            <w:shd w:val="clear" w:color="auto" w:fill="auto"/>
            <w:tcMar>
              <w:top w:w="15" w:type="dxa"/>
              <w:left w:w="15" w:type="dxa"/>
              <w:right w:w="15" w:type="dxa"/>
            </w:tcMar>
            <w:vAlign w:val="center"/>
          </w:tcPr>
          <w:p w14:paraId="2ADFB57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适用用户：部门用户、单位用户</w:t>
            </w:r>
          </w:p>
        </w:tc>
      </w:tr>
    </w:tbl>
    <w:p w14:paraId="01755820">
      <w:pPr>
        <w:pStyle w:val="6"/>
        <w:spacing w:before="93"/>
        <w:rPr>
          <w:rFonts w:hAnsi="Calibri" w:cs="仿宋"/>
          <w:sz w:val="32"/>
          <w:szCs w:val="32"/>
        </w:rPr>
      </w:pPr>
    </w:p>
    <w:p w14:paraId="0DC281AB">
      <w:pPr>
        <w:pStyle w:val="6"/>
        <w:spacing w:before="93"/>
        <w:rPr>
          <w:rFonts w:hAnsi="Calibri" w:cs="仿宋"/>
          <w:sz w:val="32"/>
          <w:szCs w:val="32"/>
        </w:rPr>
      </w:pPr>
    </w:p>
    <w:p w14:paraId="79F53FE1">
      <w:pPr>
        <w:pStyle w:val="6"/>
        <w:spacing w:before="93"/>
        <w:rPr>
          <w:rFonts w:hAnsi="Calibri" w:cs="仿宋"/>
          <w:sz w:val="32"/>
          <w:szCs w:val="32"/>
        </w:rPr>
      </w:pPr>
    </w:p>
    <w:p w14:paraId="50A0A05F">
      <w:pPr>
        <w:pStyle w:val="6"/>
        <w:spacing w:before="93"/>
        <w:rPr>
          <w:rFonts w:hAnsi="Calibri" w:cs="仿宋"/>
          <w:sz w:val="32"/>
          <w:szCs w:val="32"/>
        </w:rPr>
      </w:pPr>
    </w:p>
    <w:p w14:paraId="3D3547E2">
      <w:pPr>
        <w:spacing w:line="600" w:lineRule="exact"/>
        <w:jc w:val="center"/>
        <w:outlineLvl w:val="0"/>
        <w:rPr>
          <w:rFonts w:hint="eastAsia" w:ascii="仿宋" w:hAnsi="仿宋" w:eastAsia="仿宋"/>
        </w:rPr>
      </w:pPr>
      <w:bookmarkStart w:id="113" w:name="_Toc176813762"/>
      <w:r>
        <w:rPr>
          <w:rFonts w:hint="eastAsia" w:ascii="黑体" w:hAnsi="黑体" w:eastAsia="黑体"/>
          <w:sz w:val="44"/>
          <w:szCs w:val="44"/>
        </w:rPr>
        <w:t>第</w:t>
      </w:r>
      <w:r>
        <w:rPr>
          <w:rStyle w:val="27"/>
          <w:rFonts w:hint="eastAsia" w:ascii="黑体" w:hAnsi="黑体" w:eastAsia="黑体"/>
          <w:b w:val="0"/>
        </w:rPr>
        <w:t>五部分 附表</w:t>
      </w:r>
      <w:bookmarkEnd w:id="98"/>
      <w:bookmarkEnd w:id="112"/>
      <w:bookmarkEnd w:id="113"/>
      <w:bookmarkStart w:id="114" w:name="_Toc15396619"/>
    </w:p>
    <w:p w14:paraId="40138E1B">
      <w:pPr>
        <w:pStyle w:val="4"/>
        <w:rPr>
          <w:rFonts w:hint="eastAsia" w:ascii="仿宋" w:hAnsi="仿宋" w:eastAsia="仿宋"/>
        </w:rPr>
      </w:pPr>
      <w:bookmarkStart w:id="115" w:name="_Toc176813763"/>
      <w:r>
        <w:rPr>
          <w:rFonts w:hint="eastAsia" w:ascii="仿宋" w:hAnsi="仿宋" w:eastAsia="仿宋"/>
          <w:b w:val="0"/>
        </w:rPr>
        <w:t>一、收</w:t>
      </w:r>
      <w:r>
        <w:rPr>
          <w:rStyle w:val="28"/>
          <w:rFonts w:hint="eastAsia" w:ascii="仿宋" w:hAnsi="仿宋" w:eastAsia="仿宋"/>
          <w:b w:val="0"/>
          <w:bCs w:val="0"/>
        </w:rPr>
        <w:t>入支出决算总表</w:t>
      </w:r>
      <w:bookmarkEnd w:id="114"/>
      <w:bookmarkEnd w:id="115"/>
    </w:p>
    <w:p w14:paraId="493F75F4">
      <w:pPr>
        <w:pStyle w:val="4"/>
        <w:rPr>
          <w:rFonts w:hint="eastAsia" w:ascii="仿宋" w:hAnsi="仿宋" w:eastAsia="仿宋"/>
        </w:rPr>
      </w:pPr>
      <w:bookmarkStart w:id="116" w:name="_Toc15396620"/>
      <w:bookmarkStart w:id="117" w:name="_Toc176813764"/>
      <w:r>
        <w:rPr>
          <w:rFonts w:hint="eastAsia" w:ascii="仿宋" w:hAnsi="仿宋" w:eastAsia="仿宋"/>
          <w:b w:val="0"/>
        </w:rPr>
        <w:t>二、收</w:t>
      </w:r>
      <w:r>
        <w:rPr>
          <w:rStyle w:val="28"/>
          <w:rFonts w:hint="eastAsia" w:ascii="仿宋" w:hAnsi="仿宋" w:eastAsia="仿宋"/>
          <w:b w:val="0"/>
          <w:bCs w:val="0"/>
        </w:rPr>
        <w:t>入决算表</w:t>
      </w:r>
      <w:bookmarkEnd w:id="116"/>
      <w:bookmarkEnd w:id="117"/>
    </w:p>
    <w:p w14:paraId="229CEACF">
      <w:pPr>
        <w:pStyle w:val="4"/>
        <w:rPr>
          <w:rFonts w:hint="eastAsia" w:ascii="仿宋" w:hAnsi="仿宋" w:eastAsia="仿宋"/>
        </w:rPr>
      </w:pPr>
      <w:bookmarkStart w:id="118" w:name="_Toc15396621"/>
      <w:bookmarkStart w:id="119" w:name="_Toc176813765"/>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18"/>
      <w:bookmarkEnd w:id="119"/>
    </w:p>
    <w:p w14:paraId="78E8C084">
      <w:pPr>
        <w:pStyle w:val="4"/>
        <w:rPr>
          <w:rFonts w:hint="eastAsia" w:ascii="仿宋" w:hAnsi="仿宋" w:eastAsia="仿宋"/>
          <w:b w:val="0"/>
        </w:rPr>
      </w:pPr>
      <w:bookmarkStart w:id="120" w:name="_Toc15396622"/>
      <w:bookmarkStart w:id="121" w:name="_Toc176813766"/>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20"/>
      <w:bookmarkEnd w:id="121"/>
    </w:p>
    <w:p w14:paraId="142E866F">
      <w:pPr>
        <w:pStyle w:val="4"/>
        <w:rPr>
          <w:rStyle w:val="28"/>
          <w:rFonts w:hint="eastAsia" w:ascii="仿宋" w:hAnsi="仿宋" w:eastAsia="仿宋"/>
          <w:b w:val="0"/>
          <w:bCs w:val="0"/>
        </w:rPr>
      </w:pPr>
      <w:bookmarkStart w:id="122" w:name="_Toc15396623"/>
      <w:bookmarkStart w:id="123" w:name="_Toc176813767"/>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22"/>
      <w:bookmarkEnd w:id="123"/>
      <w:bookmarkStart w:id="124" w:name="_Toc15396624"/>
    </w:p>
    <w:p w14:paraId="57E81B2D">
      <w:pPr>
        <w:pStyle w:val="4"/>
        <w:rPr>
          <w:rFonts w:hint="eastAsia" w:ascii="仿宋" w:hAnsi="仿宋" w:eastAsia="仿宋"/>
        </w:rPr>
      </w:pPr>
      <w:bookmarkStart w:id="125" w:name="_Toc176813768"/>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24"/>
      <w:bookmarkEnd w:id="125"/>
    </w:p>
    <w:p w14:paraId="7E6778CB">
      <w:pPr>
        <w:pStyle w:val="4"/>
        <w:rPr>
          <w:rFonts w:hint="eastAsia" w:ascii="仿宋" w:hAnsi="仿宋" w:eastAsia="仿宋"/>
        </w:rPr>
      </w:pPr>
      <w:bookmarkStart w:id="126" w:name="_Toc15396625"/>
      <w:bookmarkStart w:id="127" w:name="_Toc176813769"/>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26"/>
      <w:bookmarkEnd w:id="127"/>
    </w:p>
    <w:p w14:paraId="6291EFB7">
      <w:pPr>
        <w:pStyle w:val="4"/>
        <w:rPr>
          <w:rFonts w:hint="eastAsia" w:ascii="仿宋" w:hAnsi="仿宋" w:eastAsia="仿宋"/>
        </w:rPr>
      </w:pPr>
      <w:bookmarkStart w:id="128" w:name="_Toc15396626"/>
      <w:bookmarkStart w:id="129" w:name="_Toc176813770"/>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28"/>
      <w:bookmarkEnd w:id="129"/>
    </w:p>
    <w:p w14:paraId="13A635F2">
      <w:pPr>
        <w:pStyle w:val="4"/>
        <w:rPr>
          <w:rFonts w:hint="eastAsia" w:ascii="仿宋" w:hAnsi="仿宋" w:eastAsia="仿宋"/>
        </w:rPr>
      </w:pPr>
      <w:bookmarkStart w:id="130" w:name="_Toc15396627"/>
      <w:bookmarkStart w:id="131" w:name="_Toc176813771"/>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30"/>
      <w:bookmarkEnd w:id="131"/>
    </w:p>
    <w:p w14:paraId="6A703F0E">
      <w:pPr>
        <w:pStyle w:val="4"/>
        <w:rPr>
          <w:rFonts w:hint="eastAsia" w:ascii="仿宋" w:hAnsi="仿宋" w:eastAsia="仿宋"/>
        </w:rPr>
      </w:pPr>
      <w:bookmarkStart w:id="132" w:name="_Toc15396628"/>
      <w:bookmarkStart w:id="133" w:name="_Toc176813772"/>
      <w:r>
        <w:rPr>
          <w:rStyle w:val="28"/>
          <w:rFonts w:hint="eastAsia" w:ascii="仿宋" w:hAnsi="仿宋" w:eastAsia="仿宋"/>
          <w:b w:val="0"/>
          <w:bCs w:val="0"/>
        </w:rPr>
        <w:t>十、</w:t>
      </w:r>
      <w:bookmarkEnd w:id="132"/>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33"/>
    </w:p>
    <w:p w14:paraId="6F2FFA7D">
      <w:pPr>
        <w:pStyle w:val="4"/>
        <w:rPr>
          <w:rFonts w:hint="eastAsia" w:ascii="仿宋" w:hAnsi="仿宋" w:eastAsia="仿宋"/>
        </w:rPr>
      </w:pPr>
      <w:bookmarkStart w:id="134" w:name="_Toc15396629"/>
      <w:bookmarkStart w:id="135" w:name="_Toc176813773"/>
      <w:r>
        <w:rPr>
          <w:rStyle w:val="28"/>
          <w:rFonts w:hint="eastAsia" w:ascii="仿宋" w:hAnsi="仿宋" w:eastAsia="仿宋"/>
          <w:b w:val="0"/>
          <w:bCs w:val="0"/>
        </w:rPr>
        <w:t>十一、</w:t>
      </w:r>
      <w:bookmarkEnd w:id="134"/>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35"/>
    </w:p>
    <w:p w14:paraId="1EA977A9">
      <w:pPr>
        <w:pStyle w:val="4"/>
        <w:rPr>
          <w:rFonts w:hint="eastAsia" w:ascii="仿宋" w:hAnsi="仿宋" w:eastAsia="仿宋"/>
        </w:rPr>
      </w:pPr>
      <w:bookmarkStart w:id="136" w:name="_Toc15396630"/>
      <w:bookmarkStart w:id="137" w:name="_Toc176813774"/>
      <w:r>
        <w:rPr>
          <w:rStyle w:val="28"/>
          <w:rFonts w:hint="eastAsia" w:ascii="仿宋" w:hAnsi="仿宋" w:eastAsia="仿宋"/>
          <w:b w:val="0"/>
          <w:bCs w:val="0"/>
        </w:rPr>
        <w:t>十二、</w:t>
      </w:r>
      <w:bookmarkEnd w:id="136"/>
      <w:r>
        <w:rPr>
          <w:rStyle w:val="28"/>
          <w:rFonts w:hint="eastAsia" w:ascii="仿宋" w:hAnsi="仿宋" w:eastAsia="仿宋"/>
          <w:b w:val="0"/>
          <w:bCs w:val="0"/>
        </w:rPr>
        <w:t>国有资本经营预算财政拨款支出决算表</w:t>
      </w:r>
      <w:bookmarkEnd w:id="137"/>
    </w:p>
    <w:p w14:paraId="666057BF">
      <w:pPr>
        <w:pStyle w:val="4"/>
        <w:rPr>
          <w:rStyle w:val="28"/>
          <w:rFonts w:hint="eastAsia" w:ascii="仿宋" w:hAnsi="仿宋" w:eastAsia="仿宋"/>
          <w:b w:val="0"/>
          <w:bCs w:val="0"/>
        </w:rPr>
      </w:pPr>
      <w:bookmarkStart w:id="138" w:name="_Toc15396631"/>
      <w:bookmarkStart w:id="139" w:name="_Toc176813775"/>
      <w:r>
        <w:rPr>
          <w:rStyle w:val="28"/>
          <w:rFonts w:hint="eastAsia" w:ascii="仿宋" w:hAnsi="仿宋" w:eastAsia="仿宋"/>
          <w:b w:val="0"/>
          <w:bCs w:val="0"/>
        </w:rPr>
        <w:t>十三、</w:t>
      </w:r>
      <w:bookmarkEnd w:id="138"/>
      <w:r>
        <w:rPr>
          <w:rStyle w:val="28"/>
          <w:rFonts w:hint="eastAsia" w:ascii="仿宋" w:hAnsi="仿宋" w:eastAsia="仿宋"/>
          <w:b w:val="0"/>
          <w:bCs w:val="0"/>
        </w:rPr>
        <w:t>财政拨款“三公”经费支出决算表</w:t>
      </w:r>
      <w:bookmarkEnd w:id="139"/>
    </w:p>
    <w:p w14:paraId="5303D903">
      <w:pPr>
        <w:pStyle w:val="33"/>
      </w:pPr>
    </w:p>
    <w:p w14:paraId="1A113FA5"/>
    <w:sectPr>
      <w:headerReference r:id="rId3" w:type="default"/>
      <w:footerReference r:id="rId4" w:type="default"/>
      <w:pgSz w:w="11906" w:h="16838"/>
      <w:pgMar w:top="1240" w:right="1286" w:bottom="1440" w:left="11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AE0FAF1">
        <w:pPr>
          <w:pStyle w:val="10"/>
          <w:jc w:val="center"/>
        </w:pPr>
        <w:r>
          <w:fldChar w:fldCharType="begin"/>
        </w:r>
        <w:r>
          <w:instrText xml:space="preserve">PAGE   \* MERGEFORMAT</w:instrText>
        </w:r>
        <w:r>
          <w:fldChar w:fldCharType="separate"/>
        </w:r>
        <w:r>
          <w:rPr>
            <w:lang w:val="zh-CN"/>
          </w:rPr>
          <w:t>15</w:t>
        </w:r>
        <w:r>
          <w:fldChar w:fldCharType="end"/>
        </w:r>
      </w:p>
    </w:sdtContent>
  </w:sdt>
  <w:p w14:paraId="5407D6F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B5D3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D53D358"/>
    <w:multiLevelType w:val="singleLevel"/>
    <w:tmpl w:val="FD53D358"/>
    <w:lvl w:ilvl="0" w:tentative="0">
      <w:start w:val="3"/>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jQ1ZWEzMGEyZjdhMGExYmIxOGVkYWEzMmFmNjUifQ=="/>
  </w:docVars>
  <w:rsids>
    <w:rsidRoot w:val="00F1361C"/>
    <w:rsid w:val="000222C6"/>
    <w:rsid w:val="0002549F"/>
    <w:rsid w:val="000468DB"/>
    <w:rsid w:val="0006487A"/>
    <w:rsid w:val="00065F8F"/>
    <w:rsid w:val="00070A43"/>
    <w:rsid w:val="000768F2"/>
    <w:rsid w:val="0009184B"/>
    <w:rsid w:val="00094236"/>
    <w:rsid w:val="0009593C"/>
    <w:rsid w:val="000965BE"/>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3C80"/>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014F"/>
    <w:rsid w:val="00681A31"/>
    <w:rsid w:val="00683E73"/>
    <w:rsid w:val="006A3141"/>
    <w:rsid w:val="006A5E34"/>
    <w:rsid w:val="006B2422"/>
    <w:rsid w:val="006B2B9A"/>
    <w:rsid w:val="006C1937"/>
    <w:rsid w:val="006F020C"/>
    <w:rsid w:val="0071021A"/>
    <w:rsid w:val="007127B7"/>
    <w:rsid w:val="0071798E"/>
    <w:rsid w:val="0073404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868E9"/>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5AB4"/>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DCB"/>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3A01"/>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8712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D77655"/>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4C30197"/>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B2EDE"/>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BEB66B4"/>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915;&#31639;\&#20915;&#31639;&#20844;&#24320;\&#32479;&#35745;&#2227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lumMod val="75000"/>
              </a:schemeClr>
            </a:soli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[统计图1.xls]Sheet1!$A$1:$A$2</c:f>
              <c:strCache>
                <c:ptCount val="2"/>
                <c:pt idx="0">
                  <c:v>2022年度收、支总计</c:v>
                </c:pt>
                <c:pt idx="1">
                  <c:v>2023年度收、支总计</c:v>
                </c:pt>
              </c:strCache>
            </c:strRef>
          </c:cat>
          <c:val>
            <c:numRef>
              <c:f>[统计图1.xls]Sheet1!$B$1:$B$2</c:f>
              <c:numCache>
                <c:formatCode>General</c:formatCode>
                <c:ptCount val="2"/>
                <c:pt idx="0">
                  <c:v>820.75</c:v>
                </c:pt>
                <c:pt idx="1">
                  <c:v>823.48</c:v>
                </c:pt>
              </c:numCache>
            </c:numRef>
          </c:val>
        </c:ser>
        <c:dLbls>
          <c:showLegendKey val="0"/>
          <c:showVal val="0"/>
          <c:showCatName val="0"/>
          <c:showSerName val="0"/>
          <c:showPercent val="0"/>
          <c:showBubbleSize val="0"/>
        </c:dLbls>
        <c:gapWidth val="219"/>
        <c:overlap val="-27"/>
        <c:axId val="716109302"/>
        <c:axId val="311082818"/>
      </c:barChart>
      <c:catAx>
        <c:axId val="71610930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082818"/>
        <c:crosses val="autoZero"/>
        <c:auto val="1"/>
        <c:lblAlgn val="ctr"/>
        <c:lblOffset val="100"/>
        <c:noMultiLvlLbl val="0"/>
      </c:catAx>
      <c:valAx>
        <c:axId val="311082818"/>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388888888888889"/>
              <c:y val="0.47712962962963"/>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10930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65694444444444"/>
          <c:y val="0.0155054786024395"/>
        </c:manualLayout>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rgbClr val="FF0000"/>
              </a:solidFill>
              <a:ln w="19050">
                <a:noFill/>
              </a:ln>
              <a:effectLst/>
            </c:spPr>
          </c:dPt>
          <c:dLbls>
            <c:dLbl>
              <c:idx val="0"/>
              <c:layout>
                <c:manualLayout>
                  <c:x val="0.00839423482988427"/>
                  <c:y val="-0.1661222692109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一般公共预算财政拨款收入</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100%</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[统计图1.xls]Sheet2!$A$1:$A$2</c:f>
              <c:strCache>
                <c:ptCount val="2"/>
                <c:pt idx="0">
                  <c:v>一般公共预算财政拨款收入823.48万元</c:v>
                </c:pt>
                <c:pt idx="1">
                  <c:v>其他收入3万元</c:v>
                </c:pt>
              </c:strCache>
            </c:strRef>
          </c:cat>
          <c:val>
            <c:numRef>
              <c:f>[统计图1.xls]Sheet2!$B$1:$B$2</c:f>
              <c:numCache>
                <c:formatCode>0.00%</c:formatCode>
                <c:ptCount val="2"/>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3</a:t>
            </a:r>
            <a:r>
              <a:rPr lang="zh-CN" altLang="en-US"/>
              <a:t>：支出决算结构图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15198366394399"/>
          <c:y val="0.0226244343891403"/>
        </c:manualLayout>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Lbls>
            <c:dLbl>
              <c:idx val="0"/>
              <c:layout>
                <c:manualLayout>
                  <c:x val="-0.00769264554081657"/>
                  <c:y val="-0.1980354959027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基本支出</a:t>
                    </a:r>
                    <a:r>
                      <a:rPr lang="en-US" altLang="zh-CN"/>
                      <a:t>99.43%</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项目支出</a:t>
                    </a:r>
                    <a:r>
                      <a:rPr lang="en-US" altLang="zh-CN"/>
                      <a:t>0.56%</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[统计图1.xls]Sheet3!$A$1:$A$2</c:f>
              <c:strCache>
                <c:ptCount val="2"/>
                <c:pt idx="0">
                  <c:v>基本支出818.87万元</c:v>
                </c:pt>
                <c:pt idx="1">
                  <c:v>项目支出4.62万元</c:v>
                </c:pt>
              </c:strCache>
            </c:strRef>
          </c:cat>
          <c:val>
            <c:numRef>
              <c:f>[统计图1.xls]Sheet3!$B$1:$B$2</c:f>
              <c:numCache>
                <c:formatCode>0.00%</c:formatCode>
                <c:ptCount val="2"/>
                <c:pt idx="0">
                  <c:v>0.9943</c:v>
                </c:pt>
                <c:pt idx="1">
                  <c:v>0.0056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：财政拨款收、支决算总计变动情况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[统计图1.xls]Sheet4!$A$1:$A$2</c:f>
              <c:strCache>
                <c:ptCount val="2"/>
                <c:pt idx="0">
                  <c:v>2022年财政拨款收、支总计</c:v>
                </c:pt>
                <c:pt idx="1">
                  <c:v>2023年财政拨款收、支总计</c:v>
                </c:pt>
              </c:strCache>
            </c:strRef>
          </c:cat>
          <c:val>
            <c:numRef>
              <c:f>[统计图1.xls]Sheet4!$B$1:$B$2</c:f>
              <c:numCache>
                <c:formatCode>General</c:formatCode>
                <c:ptCount val="2"/>
                <c:pt idx="0">
                  <c:v>820.75</c:v>
                </c:pt>
                <c:pt idx="1">
                  <c:v>823.48</c:v>
                </c:pt>
              </c:numCache>
            </c:numRef>
          </c:val>
        </c:ser>
        <c:dLbls>
          <c:showLegendKey val="0"/>
          <c:showVal val="0"/>
          <c:showCatName val="0"/>
          <c:showSerName val="0"/>
          <c:showPercent val="0"/>
          <c:showBubbleSize val="0"/>
        </c:dLbls>
        <c:gapWidth val="219"/>
        <c:overlap val="-27"/>
        <c:axId val="315678964"/>
        <c:axId val="596862465"/>
      </c:barChart>
      <c:catAx>
        <c:axId val="3156789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862465"/>
        <c:crosses val="autoZero"/>
        <c:auto val="1"/>
        <c:lblAlgn val="ctr"/>
        <c:lblOffset val="100"/>
        <c:noMultiLvlLbl val="0"/>
      </c:catAx>
      <c:valAx>
        <c:axId val="596862465"/>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6789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5</a:t>
            </a:r>
            <a:r>
              <a:rPr lang="zh-CN" altLang="en-US"/>
              <a:t>：一般公共预算财政拨款支出决算变动情况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7565463676711"/>
          <c:y val="0.031246785723469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[统计图1.xls]Sheet5!$A$1:$A$2</c:f>
              <c:strCache>
                <c:ptCount val="2"/>
                <c:pt idx="0">
                  <c:v>2022年一般公共预算财政拨款支出</c:v>
                </c:pt>
                <c:pt idx="1">
                  <c:v>2023年一般公共预算财政拨款支出</c:v>
                </c:pt>
              </c:strCache>
            </c:strRef>
          </c:cat>
          <c:val>
            <c:numRef>
              <c:f>[统计图1.xls]Sheet5!$B$1:$B$2</c:f>
              <c:numCache>
                <c:formatCode>General</c:formatCode>
                <c:ptCount val="2"/>
                <c:pt idx="0">
                  <c:v>820.75</c:v>
                </c:pt>
                <c:pt idx="1">
                  <c:v>823.48</c:v>
                </c:pt>
              </c:numCache>
            </c:numRef>
          </c:val>
        </c:ser>
        <c:dLbls>
          <c:showLegendKey val="0"/>
          <c:showVal val="0"/>
          <c:showCatName val="0"/>
          <c:showSerName val="0"/>
          <c:showPercent val="0"/>
          <c:showBubbleSize val="0"/>
        </c:dLbls>
        <c:gapWidth val="219"/>
        <c:overlap val="-27"/>
        <c:axId val="73620803"/>
        <c:axId val="498803367"/>
      </c:barChart>
      <c:catAx>
        <c:axId val="7362080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803367"/>
        <c:crosses val="autoZero"/>
        <c:auto val="1"/>
        <c:lblAlgn val="ctr"/>
        <c:lblOffset val="100"/>
        <c:noMultiLvlLbl val="0"/>
      </c:catAx>
      <c:valAx>
        <c:axId val="498803367"/>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208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6</a:t>
            </a:r>
            <a:r>
              <a:rPr lang="zh-CN" altLang="en-US"/>
              <a:t>：一般公共预算财政拨款支出决算结构</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rgbClr val="FFFF00"/>
              </a:solidFill>
              <a:ln w="19050">
                <a:solidFill>
                  <a:schemeClr val="accent1"/>
                </a:solidFill>
              </a:ln>
              <a:effectLst/>
            </c:spPr>
          </c:dPt>
          <c:dPt>
            <c:idx val="3"/>
            <c:bubble3D val="0"/>
            <c:spPr>
              <a:solidFill>
                <a:srgbClr val="FF0000"/>
              </a:solidFill>
              <a:ln w="19050">
                <a:solidFill>
                  <a:schemeClr val="accent1"/>
                </a:solidFill>
              </a:ln>
              <a:effectLst/>
            </c:spPr>
          </c:dPt>
          <c:dPt>
            <c:idx val="4"/>
            <c:bubble3D val="0"/>
            <c:spPr>
              <a:ln w="19050">
                <a:noFill/>
              </a:ln>
            </c:spPr>
          </c:dPt>
          <c:dLbls>
            <c:dLbl>
              <c:idx val="0"/>
              <c:layout>
                <c:manualLayout>
                  <c:x val="-0.0550884583304086"/>
                  <c:y val="-0.2049043282049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教育支出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77.19</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65212627761757"/>
                  <c:y val="0.01853085368581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卫生健康支出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3.72%</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26834070954566"/>
                  <c:y val="0.055967746328056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12.21</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29421464134422"/>
                  <c:y val="0.03966358273027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6.32</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4329581770182"/>
                      <c:h val="0.113915258161611"/>
                    </c:manualLayout>
                  </c15:layout>
                </c:ext>
              </c:extLst>
            </c:dLbl>
            <c:dLbl>
              <c:idx val="4"/>
              <c:layout>
                <c:manualLayout>
                  <c:x val="0.0791400375974885"/>
                  <c:y val="0.0055173329770650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农林水</a:t>
                    </a:r>
                    <a:r>
                      <a:rPr lang="en-US" altLang="zh-CN"/>
                      <a:t>0.56%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62150896206753"/>
                      <c:h val="0.071775874044917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[统计图1.xls]Sheet6!$B$1:$B$5</c:f>
              <c:numCache>
                <c:formatCode>0.00%</c:formatCode>
                <c:ptCount val="5"/>
                <c:pt idx="0">
                  <c:v>0.7719</c:v>
                </c:pt>
                <c:pt idx="1">
                  <c:v>0.0372</c:v>
                </c:pt>
                <c:pt idx="2">
                  <c:v>0.1221</c:v>
                </c:pt>
                <c:pt idx="3">
                  <c:v>0.0632</c:v>
                </c:pt>
                <c:pt idx="4">
                  <c:v>0.0056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E0B6-94A6-4868-9993-B552AC4631F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5920</Words>
  <Characters>6519</Characters>
  <Lines>411</Lines>
  <Paragraphs>370</Paragraphs>
  <TotalTime>27</TotalTime>
  <ScaleCrop>false</ScaleCrop>
  <LinksUpToDate>false</LinksUpToDate>
  <CharactersWithSpaces>6562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2024-09-09T14:41:00Z</cp:lastPrinted>
  <dcterms:modified xsi:type="dcterms:W3CDTF">2024-09-13T02:28:28Z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C60360B2D1464785B70455F4994F7F27_12</vt:lpwstr>
  </property>
</Properties>
</file>