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088DFE">
      <w:pPr>
        <w:spacing w:line="600" w:lineRule="exact"/>
        <w:jc w:val="left"/>
        <w:outlineLvl w:val="9"/>
        <w:rPr>
          <w:rFonts w:ascii="Arial Unicode MS" w:hAnsi="宋体" w:eastAsia="Arial Unicode MS"/>
          <w:szCs w:val="21"/>
        </w:rPr>
      </w:pPr>
      <w:bookmarkStart w:id="0" w:name="_Toc15306267"/>
    </w:p>
    <w:p w14:paraId="696F5F37">
      <w:pPr>
        <w:pStyle w:val="6"/>
        <w:spacing w:before="93"/>
      </w:pPr>
    </w:p>
    <w:p w14:paraId="791F97AC">
      <w:pPr>
        <w:spacing w:line="600" w:lineRule="exact"/>
        <w:jc w:val="center"/>
        <w:outlineLvl w:val="9"/>
        <w:rPr>
          <w:rFonts w:ascii="Arial Unicode MS" w:hAnsi="宋体" w:eastAsia="Arial Unicode MS"/>
          <w:sz w:val="72"/>
          <w:szCs w:val="72"/>
        </w:rPr>
      </w:pPr>
    </w:p>
    <w:p w14:paraId="3EE35A71">
      <w:pPr>
        <w:spacing w:line="600" w:lineRule="exact"/>
        <w:jc w:val="center"/>
        <w:outlineLvl w:val="9"/>
        <w:rPr>
          <w:rFonts w:ascii="Arial Unicode MS" w:hAnsi="宋体" w:eastAsia="Arial Unicode MS"/>
          <w:sz w:val="72"/>
          <w:szCs w:val="72"/>
        </w:rPr>
      </w:pPr>
    </w:p>
    <w:p w14:paraId="4AB2F61C">
      <w:pPr>
        <w:adjustRightInd w:val="0"/>
        <w:snapToGrid w:val="0"/>
        <w:spacing w:line="360" w:lineRule="auto"/>
        <w:jc w:val="center"/>
        <w:outlineLvl w:val="0"/>
        <w:rPr>
          <w:rFonts w:ascii="Arial Unicode MS" w:hAnsi="Arial Unicode MS" w:eastAsia="Arial Unicode MS" w:cs="Arial Unicode MS"/>
          <w:sz w:val="72"/>
          <w:szCs w:val="72"/>
        </w:rPr>
      </w:pPr>
      <w:bookmarkStart w:id="1" w:name="_Toc15377425"/>
      <w:bookmarkStart w:id="2" w:name="_Toc15377193"/>
      <w:bookmarkStart w:id="3" w:name="_Toc15396475"/>
      <w:bookmarkStart w:id="4" w:name="_Toc13210"/>
      <w:bookmarkStart w:id="5" w:name="_Toc15378441"/>
      <w:bookmarkStart w:id="6" w:name="_Toc15396597"/>
      <w:r>
        <w:rPr>
          <w:rFonts w:hint="eastAsia" w:ascii="Arial Unicode MS" w:hAnsi="Arial Unicode MS" w:eastAsia="Arial Unicode MS" w:cs="Arial Unicode MS"/>
          <w:sz w:val="72"/>
          <w:szCs w:val="72"/>
        </w:rPr>
        <w:t>2023年度</w:t>
      </w:r>
      <w:bookmarkEnd w:id="1"/>
      <w:bookmarkEnd w:id="2"/>
      <w:bookmarkEnd w:id="3"/>
      <w:bookmarkEnd w:id="4"/>
      <w:bookmarkEnd w:id="5"/>
      <w:bookmarkEnd w:id="6"/>
    </w:p>
    <w:p w14:paraId="408AB693">
      <w:pPr>
        <w:adjustRightInd w:val="0"/>
        <w:snapToGrid w:val="0"/>
        <w:spacing w:line="360" w:lineRule="auto"/>
        <w:jc w:val="center"/>
        <w:outlineLvl w:val="0"/>
        <w:rPr>
          <w:rFonts w:ascii="Arial Unicode MS" w:hAnsi="Arial Unicode MS" w:eastAsia="Arial Unicode MS" w:cs="Arial Unicode MS"/>
          <w:sz w:val="72"/>
          <w:szCs w:val="72"/>
        </w:rPr>
      </w:pPr>
      <w:bookmarkStart w:id="7" w:name="_Toc15396598"/>
      <w:bookmarkStart w:id="8" w:name="_Toc15378442"/>
      <w:bookmarkStart w:id="9" w:name="_Toc15377426"/>
      <w:bookmarkStart w:id="10" w:name="_Toc13319"/>
      <w:bookmarkStart w:id="11" w:name="_Toc15377194"/>
      <w:bookmarkStart w:id="12" w:name="_Toc15396476"/>
      <w:r>
        <w:rPr>
          <w:rFonts w:hint="eastAsia" w:ascii="Arial Unicode MS" w:hAnsi="Arial Unicode MS" w:eastAsia="Arial Unicode MS" w:cs="Arial Unicode MS"/>
          <w:sz w:val="72"/>
          <w:szCs w:val="72"/>
        </w:rPr>
        <w:t>四川省</w:t>
      </w:r>
      <w:bookmarkEnd w:id="0"/>
      <w:bookmarkStart w:id="13" w:name="_Toc15306268"/>
      <w:r>
        <w:rPr>
          <w:rFonts w:hint="eastAsia" w:ascii="Arial Unicode MS" w:hAnsi="Arial Unicode MS" w:eastAsia="Arial Unicode MS" w:cs="Arial Unicode MS"/>
          <w:sz w:val="72"/>
          <w:szCs w:val="72"/>
        </w:rPr>
        <w:t>射洪市武安镇</w:t>
      </w:r>
      <w:r>
        <w:rPr>
          <w:rFonts w:hint="eastAsia" w:ascii="Arial Unicode MS" w:hAnsi="Arial Unicode MS" w:eastAsia="Arial Unicode MS" w:cs="Arial Unicode MS"/>
          <w:b/>
          <w:bCs/>
          <w:sz w:val="72"/>
          <w:szCs w:val="72"/>
        </w:rPr>
        <w:t>文聚</w:t>
      </w:r>
      <w:r>
        <w:rPr>
          <w:rFonts w:hint="eastAsia" w:ascii="Arial Unicode MS" w:hAnsi="Arial Unicode MS" w:eastAsia="Arial Unicode MS" w:cs="Arial Unicode MS"/>
          <w:sz w:val="72"/>
          <w:szCs w:val="72"/>
        </w:rPr>
        <w:t>学校单位决算</w:t>
      </w:r>
      <w:bookmarkEnd w:id="7"/>
      <w:bookmarkEnd w:id="8"/>
      <w:bookmarkEnd w:id="9"/>
      <w:bookmarkEnd w:id="10"/>
      <w:bookmarkEnd w:id="11"/>
      <w:bookmarkEnd w:id="12"/>
      <w:bookmarkEnd w:id="13"/>
    </w:p>
    <w:p w14:paraId="08585ABD">
      <w:pPr>
        <w:widowControl/>
        <w:jc w:val="center"/>
        <w:rPr>
          <w:rFonts w:ascii="黑体" w:hAnsi="黑体" w:eastAsia="黑体"/>
          <w:sz w:val="48"/>
          <w:szCs w:val="48"/>
        </w:rPr>
      </w:pPr>
      <w:r>
        <w:rPr>
          <w:rFonts w:ascii="Arial Unicode MS" w:hAnsi="宋体" w:eastAsia="Arial Unicode MS"/>
          <w:sz w:val="36"/>
          <w:szCs w:val="36"/>
        </w:rPr>
        <w:br w:type="page"/>
      </w:r>
    </w:p>
    <w:p w14:paraId="4C356251">
      <w:pPr>
        <w:widowControl/>
        <w:jc w:val="center"/>
        <w:rPr>
          <w:rFonts w:ascii="黑体" w:hAnsi="黑体" w:eastAsia="黑体" w:cstheme="minorBidi"/>
          <w:sz w:val="28"/>
          <w:szCs w:val="28"/>
        </w:rPr>
      </w:pPr>
    </w:p>
    <w:p w14:paraId="1BA674EC">
      <w:pPr>
        <w:pStyle w:val="12"/>
      </w:pPr>
      <w:r>
        <w:rPr>
          <w:rFonts w:hint="eastAsia"/>
        </w:rPr>
        <w:t>公开时间：202</w:t>
      </w:r>
      <w:r>
        <w:rPr>
          <w:rFonts w:hint="eastAsia"/>
          <w:lang w:val="en-US" w:eastAsia="zh-CN"/>
        </w:rPr>
        <w:t>4</w:t>
      </w:r>
      <w:r>
        <w:rPr>
          <w:rFonts w:hint="eastAsia"/>
        </w:rPr>
        <w:t>年9月</w:t>
      </w:r>
      <w:r>
        <w:rPr>
          <w:rFonts w:hint="eastAsia"/>
          <w:lang w:val="en-US" w:eastAsia="zh-CN"/>
        </w:rPr>
        <w:t>15</w:t>
      </w:r>
      <w:r>
        <w:rPr>
          <w:rFonts w:hint="eastAsia"/>
        </w:rPr>
        <w:t>日</w:t>
      </w:r>
    </w:p>
    <w:p w14:paraId="4C66FF4D"/>
    <w:sdt>
      <w:sdtPr>
        <w:rPr>
          <w:rFonts w:ascii="宋体" w:hAnsi="宋体" w:eastAsia="宋体" w:cs="Times New Roman"/>
          <w:kern w:val="2"/>
          <w:sz w:val="21"/>
          <w:szCs w:val="24"/>
          <w:lang w:val="en-US" w:eastAsia="zh-CN" w:bidi="ar-SA"/>
        </w:rPr>
        <w:id w:val="147456924"/>
        <w15:color w:val="DBDBDB"/>
        <w:docPartObj>
          <w:docPartGallery w:val="Table of Contents"/>
          <w:docPartUnique/>
        </w:docPartObj>
      </w:sdtPr>
      <w:sdtEndPr>
        <w:rPr>
          <w:rFonts w:ascii="宋体" w:hAnsi="宋体" w:eastAsia="宋体" w:cs="Times New Roman"/>
          <w:b/>
          <w:kern w:val="2"/>
          <w:sz w:val="21"/>
          <w:szCs w:val="24"/>
          <w:lang w:val="en-US" w:eastAsia="zh-CN" w:bidi="ar-SA"/>
        </w:rPr>
      </w:sdtEndPr>
      <w:sdtContent>
        <w:p w14:paraId="4C5C5A68">
          <w:pPr>
            <w:spacing w:before="0" w:beforeLines="0" w:after="0" w:afterLines="0" w:line="240" w:lineRule="auto"/>
            <w:ind w:left="0" w:leftChars="0" w:right="0" w:rightChars="0" w:firstLine="0" w:firstLineChars="0"/>
            <w:jc w:val="center"/>
            <w:rPr>
              <w:b/>
            </w:rPr>
          </w:pPr>
          <w:bookmarkStart w:id="14" w:name="_Toc15396599"/>
          <w:bookmarkStart w:id="15" w:name="_Toc15377196"/>
          <w:r>
            <w:rPr>
              <w:rFonts w:hint="eastAsia" w:ascii="黑体" w:hAnsi="黑体" w:eastAsia="黑体"/>
              <w:sz w:val="48"/>
              <w:szCs w:val="48"/>
            </w:rPr>
            <w:t>目录</w:t>
          </w:r>
          <w:r>
            <w:fldChar w:fldCharType="begin"/>
          </w:r>
          <w:r>
            <w:instrText xml:space="preserve">TOC \o "1-2" \h \u </w:instrText>
          </w:r>
          <w:r>
            <w:fldChar w:fldCharType="separate"/>
          </w:r>
        </w:p>
        <w:p w14:paraId="623BE28A">
          <w:pPr>
            <w:pStyle w:val="36"/>
            <w:tabs>
              <w:tab w:val="right" w:leader="dot" w:pos="8306"/>
            </w:tabs>
            <w:rPr>
              <w:b/>
            </w:rPr>
          </w:pPr>
          <w:r>
            <w:rPr>
              <w:b/>
            </w:rPr>
            <w:fldChar w:fldCharType="begin"/>
          </w:r>
          <w:r>
            <w:rPr>
              <w:b/>
            </w:rPr>
            <w:instrText xml:space="preserve"> HYPERLINK \l _Toc26806 </w:instrText>
          </w:r>
          <w:r>
            <w:rPr>
              <w:b/>
            </w:rPr>
            <w:fldChar w:fldCharType="separate"/>
          </w:r>
          <w:r>
            <w:rPr>
              <w:rFonts w:hint="eastAsia" w:ascii="黑体" w:hAnsi="黑体" w:eastAsia="黑体"/>
              <w:b/>
            </w:rPr>
            <w:t>第一部分 单位</w:t>
          </w:r>
          <w:r>
            <w:rPr>
              <w:rFonts w:hint="eastAsia" w:ascii="黑体" w:hAnsi="黑体" w:eastAsia="黑体"/>
              <w:b/>
              <w:bCs w:val="0"/>
            </w:rPr>
            <w:t>概况</w:t>
          </w:r>
          <w:r>
            <w:rPr>
              <w:b/>
            </w:rPr>
            <w:tab/>
          </w:r>
          <w:r>
            <w:rPr>
              <w:b/>
            </w:rPr>
            <w:fldChar w:fldCharType="begin"/>
          </w:r>
          <w:r>
            <w:rPr>
              <w:b/>
            </w:rPr>
            <w:instrText xml:space="preserve"> PAGEREF _Toc26806 \h </w:instrText>
          </w:r>
          <w:r>
            <w:rPr>
              <w:b/>
            </w:rPr>
            <w:fldChar w:fldCharType="separate"/>
          </w:r>
          <w:r>
            <w:rPr>
              <w:b/>
            </w:rPr>
            <w:t>3</w:t>
          </w:r>
          <w:r>
            <w:rPr>
              <w:b/>
            </w:rPr>
            <w:fldChar w:fldCharType="end"/>
          </w:r>
          <w:r>
            <w:rPr>
              <w:b/>
            </w:rPr>
            <w:fldChar w:fldCharType="end"/>
          </w:r>
        </w:p>
        <w:p w14:paraId="419ED71B">
          <w:pPr>
            <w:pStyle w:val="37"/>
            <w:tabs>
              <w:tab w:val="right" w:leader="dot" w:pos="8306"/>
            </w:tabs>
          </w:pPr>
          <w:r>
            <w:fldChar w:fldCharType="begin"/>
          </w:r>
          <w:r>
            <w:instrText xml:space="preserve"> HYPERLINK \l _Toc18933 </w:instrText>
          </w:r>
          <w:r>
            <w:fldChar w:fldCharType="separate"/>
          </w:r>
          <w:r>
            <w:rPr>
              <w:rFonts w:hint="eastAsia" w:ascii="黑体" w:hAnsi="黑体" w:eastAsia="黑体"/>
              <w:bCs w:val="0"/>
            </w:rPr>
            <w:t>一、主要职责</w:t>
          </w:r>
          <w:r>
            <w:tab/>
          </w:r>
          <w:r>
            <w:fldChar w:fldCharType="begin"/>
          </w:r>
          <w:r>
            <w:instrText xml:space="preserve"> PAGEREF _Toc18933 \h </w:instrText>
          </w:r>
          <w:r>
            <w:fldChar w:fldCharType="separate"/>
          </w:r>
          <w:r>
            <w:t>3</w:t>
          </w:r>
          <w:r>
            <w:fldChar w:fldCharType="end"/>
          </w:r>
          <w:r>
            <w:fldChar w:fldCharType="end"/>
          </w:r>
        </w:p>
        <w:p w14:paraId="1EBE6E37">
          <w:pPr>
            <w:pStyle w:val="37"/>
            <w:tabs>
              <w:tab w:val="right" w:leader="dot" w:pos="8306"/>
            </w:tabs>
          </w:pPr>
          <w:r>
            <w:fldChar w:fldCharType="begin"/>
          </w:r>
          <w:r>
            <w:instrText xml:space="preserve"> HYPERLINK \l _Toc1220 </w:instrText>
          </w:r>
          <w:r>
            <w:fldChar w:fldCharType="separate"/>
          </w:r>
          <w:r>
            <w:rPr>
              <w:rFonts w:hint="eastAsia" w:ascii="黑体" w:hAnsi="黑体" w:eastAsia="黑体"/>
            </w:rPr>
            <w:t>二、机构设置</w:t>
          </w:r>
          <w:r>
            <w:tab/>
          </w:r>
          <w:r>
            <w:fldChar w:fldCharType="begin"/>
          </w:r>
          <w:r>
            <w:instrText xml:space="preserve"> PAGEREF _Toc1220 \h </w:instrText>
          </w:r>
          <w:r>
            <w:fldChar w:fldCharType="separate"/>
          </w:r>
          <w:r>
            <w:t>3</w:t>
          </w:r>
          <w:r>
            <w:fldChar w:fldCharType="end"/>
          </w:r>
          <w:r>
            <w:fldChar w:fldCharType="end"/>
          </w:r>
        </w:p>
        <w:p w14:paraId="1166B371">
          <w:pPr>
            <w:pStyle w:val="36"/>
            <w:tabs>
              <w:tab w:val="right" w:leader="dot" w:pos="8306"/>
            </w:tabs>
            <w:rPr>
              <w:b/>
            </w:rPr>
          </w:pPr>
          <w:r>
            <w:rPr>
              <w:b/>
            </w:rPr>
            <w:fldChar w:fldCharType="begin"/>
          </w:r>
          <w:r>
            <w:rPr>
              <w:b/>
            </w:rPr>
            <w:instrText xml:space="preserve"> HYPERLINK \l _Toc25445 </w:instrText>
          </w:r>
          <w:r>
            <w:rPr>
              <w:b/>
            </w:rPr>
            <w:fldChar w:fldCharType="separate"/>
          </w:r>
          <w:r>
            <w:rPr>
              <w:rFonts w:hint="eastAsia" w:ascii="黑体" w:hAnsi="黑体" w:eastAsia="黑体"/>
              <w:b/>
            </w:rPr>
            <w:t>第二部分 2023年度</w:t>
          </w:r>
          <w:r>
            <w:rPr>
              <w:rFonts w:hint="eastAsia" w:ascii="黑体" w:hAnsi="黑体" w:eastAsia="黑体"/>
              <w:b/>
              <w:bCs/>
            </w:rPr>
            <w:t>单位决算情况说明</w:t>
          </w:r>
          <w:r>
            <w:rPr>
              <w:b/>
            </w:rPr>
            <w:tab/>
          </w:r>
          <w:r>
            <w:rPr>
              <w:b/>
            </w:rPr>
            <w:fldChar w:fldCharType="begin"/>
          </w:r>
          <w:r>
            <w:rPr>
              <w:b/>
            </w:rPr>
            <w:instrText xml:space="preserve"> PAGEREF _Toc25445 \h </w:instrText>
          </w:r>
          <w:r>
            <w:rPr>
              <w:b/>
            </w:rPr>
            <w:fldChar w:fldCharType="separate"/>
          </w:r>
          <w:r>
            <w:rPr>
              <w:b/>
            </w:rPr>
            <w:t>4</w:t>
          </w:r>
          <w:r>
            <w:rPr>
              <w:b/>
            </w:rPr>
            <w:fldChar w:fldCharType="end"/>
          </w:r>
          <w:r>
            <w:rPr>
              <w:b/>
            </w:rPr>
            <w:fldChar w:fldCharType="end"/>
          </w:r>
        </w:p>
        <w:p w14:paraId="4E00442C">
          <w:pPr>
            <w:pStyle w:val="37"/>
            <w:tabs>
              <w:tab w:val="right" w:leader="dot" w:pos="8306"/>
            </w:tabs>
          </w:pPr>
          <w:r>
            <w:fldChar w:fldCharType="begin"/>
          </w:r>
          <w:r>
            <w:instrText xml:space="preserve"> HYPERLINK \l _Toc23110 </w:instrText>
          </w:r>
          <w:r>
            <w:fldChar w:fldCharType="separate"/>
          </w:r>
          <w:r>
            <w:rPr>
              <w:rFonts w:hint="default" w:ascii="黑体" w:hAnsi="黑体" w:eastAsia="黑体"/>
            </w:rPr>
            <w:t>一、</w:t>
          </w:r>
          <w:r>
            <w:rPr>
              <w:rFonts w:hint="eastAsia" w:ascii="黑体" w:hAnsi="黑体" w:eastAsia="黑体"/>
              <w:szCs w:val="32"/>
            </w:rPr>
            <w:t>收</w:t>
          </w:r>
          <w:r>
            <w:rPr>
              <w:rFonts w:hint="eastAsia" w:ascii="黑体" w:hAnsi="黑体" w:eastAsia="黑体"/>
            </w:rPr>
            <w:t>入支出决算总体情况说明</w:t>
          </w:r>
          <w:r>
            <w:tab/>
          </w:r>
          <w:r>
            <w:fldChar w:fldCharType="begin"/>
          </w:r>
          <w:r>
            <w:instrText xml:space="preserve"> PAGEREF _Toc23110 \h </w:instrText>
          </w:r>
          <w:r>
            <w:fldChar w:fldCharType="separate"/>
          </w:r>
          <w:r>
            <w:t>4</w:t>
          </w:r>
          <w:r>
            <w:fldChar w:fldCharType="end"/>
          </w:r>
          <w:r>
            <w:fldChar w:fldCharType="end"/>
          </w:r>
        </w:p>
        <w:p w14:paraId="55AEFB2F">
          <w:pPr>
            <w:pStyle w:val="37"/>
            <w:tabs>
              <w:tab w:val="right" w:leader="dot" w:pos="8306"/>
            </w:tabs>
          </w:pPr>
          <w:r>
            <w:fldChar w:fldCharType="begin"/>
          </w:r>
          <w:r>
            <w:instrText xml:space="preserve"> HYPERLINK \l _Toc15755 </w:instrText>
          </w:r>
          <w:r>
            <w:fldChar w:fldCharType="separate"/>
          </w:r>
          <w:r>
            <w:rPr>
              <w:rFonts w:hint="default" w:ascii="黑体" w:hAnsi="黑体" w:eastAsia="黑体"/>
            </w:rPr>
            <w:t>二、</w:t>
          </w:r>
          <w:r>
            <w:rPr>
              <w:rFonts w:hint="eastAsia" w:ascii="黑体" w:hAnsi="黑体" w:eastAsia="黑体"/>
              <w:szCs w:val="32"/>
            </w:rPr>
            <w:t>收</w:t>
          </w:r>
          <w:r>
            <w:rPr>
              <w:rFonts w:hint="eastAsia" w:ascii="黑体" w:hAnsi="黑体" w:eastAsia="黑体"/>
            </w:rPr>
            <w:t>入决算情况说明</w:t>
          </w:r>
          <w:r>
            <w:tab/>
          </w:r>
          <w:r>
            <w:fldChar w:fldCharType="begin"/>
          </w:r>
          <w:r>
            <w:instrText xml:space="preserve"> PAGEREF _Toc15755 \h </w:instrText>
          </w:r>
          <w:r>
            <w:fldChar w:fldCharType="separate"/>
          </w:r>
          <w:r>
            <w:t>4</w:t>
          </w:r>
          <w:r>
            <w:fldChar w:fldCharType="end"/>
          </w:r>
          <w:r>
            <w:fldChar w:fldCharType="end"/>
          </w:r>
        </w:p>
        <w:p w14:paraId="06201B44">
          <w:pPr>
            <w:pStyle w:val="37"/>
            <w:tabs>
              <w:tab w:val="right" w:leader="dot" w:pos="8306"/>
            </w:tabs>
          </w:pPr>
          <w:r>
            <w:fldChar w:fldCharType="begin"/>
          </w:r>
          <w:r>
            <w:instrText xml:space="preserve"> HYPERLINK \l _Toc13541 </w:instrText>
          </w:r>
          <w:r>
            <w:fldChar w:fldCharType="separate"/>
          </w:r>
          <w:r>
            <w:rPr>
              <w:rFonts w:hint="default" w:ascii="黑体" w:hAnsi="黑体" w:eastAsia="黑体"/>
            </w:rPr>
            <w:t>三、</w:t>
          </w:r>
          <w:r>
            <w:rPr>
              <w:rFonts w:hint="eastAsia" w:ascii="黑体" w:hAnsi="黑体" w:eastAsia="黑体"/>
              <w:szCs w:val="32"/>
            </w:rPr>
            <w:t>支</w:t>
          </w:r>
          <w:r>
            <w:rPr>
              <w:rFonts w:hint="eastAsia" w:ascii="黑体" w:hAnsi="黑体" w:eastAsia="黑体"/>
            </w:rPr>
            <w:t>出决算情况说明</w:t>
          </w:r>
          <w:r>
            <w:tab/>
          </w:r>
          <w:r>
            <w:fldChar w:fldCharType="begin"/>
          </w:r>
          <w:r>
            <w:instrText xml:space="preserve"> PAGEREF _Toc13541 \h </w:instrText>
          </w:r>
          <w:r>
            <w:fldChar w:fldCharType="separate"/>
          </w:r>
          <w:r>
            <w:t>5</w:t>
          </w:r>
          <w:r>
            <w:fldChar w:fldCharType="end"/>
          </w:r>
          <w:r>
            <w:fldChar w:fldCharType="end"/>
          </w:r>
        </w:p>
        <w:p w14:paraId="5AABA8F8">
          <w:pPr>
            <w:pStyle w:val="37"/>
            <w:tabs>
              <w:tab w:val="right" w:leader="dot" w:pos="8306"/>
            </w:tabs>
          </w:pPr>
          <w:r>
            <w:fldChar w:fldCharType="begin"/>
          </w:r>
          <w:r>
            <w:instrText xml:space="preserve"> HYPERLINK \l _Toc22156 </w:instrText>
          </w:r>
          <w:r>
            <w:fldChar w:fldCharType="separate"/>
          </w:r>
          <w:r>
            <w:rPr>
              <w:rFonts w:hint="eastAsia" w:ascii="黑体" w:hAnsi="黑体" w:eastAsia="黑体"/>
              <w:szCs w:val="32"/>
            </w:rPr>
            <w:t>四、财</w:t>
          </w:r>
          <w:r>
            <w:rPr>
              <w:rFonts w:hint="eastAsia" w:ascii="黑体" w:hAnsi="黑体" w:eastAsia="黑体"/>
            </w:rPr>
            <w:t>政拨款收入支出决算总体情况说明</w:t>
          </w:r>
          <w:r>
            <w:tab/>
          </w:r>
          <w:r>
            <w:fldChar w:fldCharType="begin"/>
          </w:r>
          <w:r>
            <w:instrText xml:space="preserve"> PAGEREF _Toc22156 \h </w:instrText>
          </w:r>
          <w:r>
            <w:fldChar w:fldCharType="separate"/>
          </w:r>
          <w:r>
            <w:t>6</w:t>
          </w:r>
          <w:r>
            <w:fldChar w:fldCharType="end"/>
          </w:r>
          <w:r>
            <w:fldChar w:fldCharType="end"/>
          </w:r>
        </w:p>
        <w:p w14:paraId="0AEF45FD">
          <w:pPr>
            <w:pStyle w:val="37"/>
            <w:tabs>
              <w:tab w:val="right" w:leader="dot" w:pos="8306"/>
            </w:tabs>
          </w:pPr>
          <w:r>
            <w:fldChar w:fldCharType="begin"/>
          </w:r>
          <w:r>
            <w:instrText xml:space="preserve"> HYPERLINK \l _Toc7603 </w:instrText>
          </w:r>
          <w:r>
            <w:fldChar w:fldCharType="separate"/>
          </w:r>
          <w:r>
            <w:rPr>
              <w:rFonts w:hint="eastAsia" w:ascii="黑体" w:hAnsi="黑体" w:eastAsia="黑体"/>
              <w:szCs w:val="32"/>
            </w:rPr>
            <w:t>五、一</w:t>
          </w:r>
          <w:r>
            <w:rPr>
              <w:rFonts w:hint="eastAsia" w:ascii="黑体" w:hAnsi="黑体" w:eastAsia="黑体"/>
            </w:rPr>
            <w:t>般公共预算财政拨款支出决算情况说明</w:t>
          </w:r>
          <w:r>
            <w:tab/>
          </w:r>
          <w:r>
            <w:fldChar w:fldCharType="begin"/>
          </w:r>
          <w:r>
            <w:instrText xml:space="preserve"> PAGEREF _Toc7603 \h </w:instrText>
          </w:r>
          <w:r>
            <w:fldChar w:fldCharType="separate"/>
          </w:r>
          <w:r>
            <w:t>6</w:t>
          </w:r>
          <w:r>
            <w:fldChar w:fldCharType="end"/>
          </w:r>
          <w:r>
            <w:fldChar w:fldCharType="end"/>
          </w:r>
        </w:p>
        <w:p w14:paraId="4BF6A131">
          <w:pPr>
            <w:pStyle w:val="37"/>
            <w:tabs>
              <w:tab w:val="right" w:leader="dot" w:pos="8306"/>
            </w:tabs>
          </w:pPr>
          <w:r>
            <w:fldChar w:fldCharType="begin"/>
          </w:r>
          <w:r>
            <w:instrText xml:space="preserve"> HYPERLINK \l _Toc29661 </w:instrText>
          </w:r>
          <w:r>
            <w:fldChar w:fldCharType="separate"/>
          </w:r>
          <w:r>
            <w:rPr>
              <w:rFonts w:hint="eastAsia" w:ascii="黑体" w:eastAsia="黑体"/>
              <w:szCs w:val="32"/>
            </w:rPr>
            <w:t>六、</w:t>
          </w:r>
          <w:r>
            <w:rPr>
              <w:rFonts w:hint="eastAsia" w:ascii="黑体" w:hAnsi="黑体" w:eastAsia="黑体"/>
              <w:szCs w:val="32"/>
            </w:rPr>
            <w:t>一</w:t>
          </w:r>
          <w:r>
            <w:rPr>
              <w:rFonts w:hint="eastAsia" w:ascii="黑体" w:hAnsi="黑体" w:eastAsia="黑体"/>
            </w:rPr>
            <w:t>般公共预算财政拨款基本支出决算情况说明</w:t>
          </w:r>
          <w:r>
            <w:tab/>
          </w:r>
          <w:r>
            <w:fldChar w:fldCharType="begin"/>
          </w:r>
          <w:r>
            <w:instrText xml:space="preserve"> PAGEREF _Toc29661 \h </w:instrText>
          </w:r>
          <w:r>
            <w:fldChar w:fldCharType="separate"/>
          </w:r>
          <w:r>
            <w:t>9</w:t>
          </w:r>
          <w:r>
            <w:fldChar w:fldCharType="end"/>
          </w:r>
          <w:r>
            <w:fldChar w:fldCharType="end"/>
          </w:r>
        </w:p>
        <w:p w14:paraId="31D69B87">
          <w:pPr>
            <w:pStyle w:val="37"/>
            <w:tabs>
              <w:tab w:val="right" w:leader="dot" w:pos="8306"/>
            </w:tabs>
          </w:pPr>
          <w:r>
            <w:fldChar w:fldCharType="begin"/>
          </w:r>
          <w:r>
            <w:instrText xml:space="preserve"> HYPERLINK \l _Toc25198 </w:instrText>
          </w:r>
          <w:r>
            <w:fldChar w:fldCharType="separate"/>
          </w:r>
          <w:r>
            <w:rPr>
              <w:rFonts w:hint="eastAsia" w:ascii="黑体" w:eastAsia="黑体"/>
              <w:szCs w:val="32"/>
            </w:rPr>
            <w:t>七、</w:t>
          </w:r>
          <w:r>
            <w:rPr>
              <w:rFonts w:hint="eastAsia" w:ascii="黑体" w:hAnsi="黑体" w:eastAsia="黑体"/>
            </w:rPr>
            <w:t>财政拨款“三公”经费支出决算情况说明</w:t>
          </w:r>
          <w:r>
            <w:tab/>
          </w:r>
          <w:r>
            <w:fldChar w:fldCharType="begin"/>
          </w:r>
          <w:r>
            <w:instrText xml:space="preserve"> PAGEREF _Toc25198 \h </w:instrText>
          </w:r>
          <w:r>
            <w:fldChar w:fldCharType="separate"/>
          </w:r>
          <w:r>
            <w:t>9</w:t>
          </w:r>
          <w:r>
            <w:fldChar w:fldCharType="end"/>
          </w:r>
          <w:r>
            <w:fldChar w:fldCharType="end"/>
          </w:r>
        </w:p>
        <w:p w14:paraId="02CDFD7A">
          <w:pPr>
            <w:pStyle w:val="37"/>
            <w:tabs>
              <w:tab w:val="right" w:leader="dot" w:pos="8306"/>
            </w:tabs>
          </w:pPr>
          <w:r>
            <w:fldChar w:fldCharType="begin"/>
          </w:r>
          <w:r>
            <w:instrText xml:space="preserve"> HYPERLINK \l _Toc10474 </w:instrText>
          </w:r>
          <w:r>
            <w:fldChar w:fldCharType="separate"/>
          </w:r>
          <w:r>
            <w:rPr>
              <w:rFonts w:hint="eastAsia" w:ascii="黑体" w:eastAsia="黑体"/>
              <w:szCs w:val="32"/>
            </w:rPr>
            <w:t>八、</w:t>
          </w:r>
          <w:r>
            <w:rPr>
              <w:rFonts w:hint="eastAsia" w:ascii="黑体" w:hAnsi="黑体" w:eastAsia="黑体"/>
            </w:rPr>
            <w:t>政府性基金预算支出决算情况说明</w:t>
          </w:r>
          <w:r>
            <w:tab/>
          </w:r>
          <w:r>
            <w:fldChar w:fldCharType="begin"/>
          </w:r>
          <w:r>
            <w:instrText xml:space="preserve"> PAGEREF _Toc10474 \h </w:instrText>
          </w:r>
          <w:r>
            <w:fldChar w:fldCharType="separate"/>
          </w:r>
          <w:r>
            <w:t>11</w:t>
          </w:r>
          <w:r>
            <w:fldChar w:fldCharType="end"/>
          </w:r>
          <w:r>
            <w:fldChar w:fldCharType="end"/>
          </w:r>
        </w:p>
        <w:p w14:paraId="5F68381E">
          <w:pPr>
            <w:pStyle w:val="37"/>
            <w:tabs>
              <w:tab w:val="right" w:leader="dot" w:pos="8306"/>
            </w:tabs>
          </w:pPr>
          <w:r>
            <w:fldChar w:fldCharType="begin"/>
          </w:r>
          <w:r>
            <w:instrText xml:space="preserve"> HYPERLINK \l _Toc23583 </w:instrText>
          </w:r>
          <w:r>
            <w:fldChar w:fldCharType="separate"/>
          </w:r>
          <w:r>
            <w:rPr>
              <w:rFonts w:hint="eastAsia" w:ascii="黑体" w:hAnsi="黑体" w:eastAsia="黑体"/>
            </w:rPr>
            <w:t>九、国有资本经营预算支出决算情况说明</w:t>
          </w:r>
          <w:r>
            <w:tab/>
          </w:r>
          <w:r>
            <w:fldChar w:fldCharType="begin"/>
          </w:r>
          <w:r>
            <w:instrText xml:space="preserve"> PAGEREF _Toc23583 \h </w:instrText>
          </w:r>
          <w:r>
            <w:fldChar w:fldCharType="separate"/>
          </w:r>
          <w:r>
            <w:t>11</w:t>
          </w:r>
          <w:r>
            <w:fldChar w:fldCharType="end"/>
          </w:r>
          <w:r>
            <w:fldChar w:fldCharType="end"/>
          </w:r>
        </w:p>
        <w:p w14:paraId="2B8DAEB0">
          <w:pPr>
            <w:pStyle w:val="37"/>
            <w:tabs>
              <w:tab w:val="right" w:leader="dot" w:pos="8306"/>
            </w:tabs>
          </w:pPr>
          <w:r>
            <w:fldChar w:fldCharType="begin"/>
          </w:r>
          <w:r>
            <w:instrText xml:space="preserve"> HYPERLINK \l _Toc14073 </w:instrText>
          </w:r>
          <w:r>
            <w:fldChar w:fldCharType="separate"/>
          </w:r>
          <w:r>
            <w:rPr>
              <w:rFonts w:hint="eastAsia" w:ascii="黑体" w:hAnsi="黑体" w:eastAsia="黑体"/>
            </w:rPr>
            <w:t>十、其他重要事项的情况说明</w:t>
          </w:r>
          <w:r>
            <w:tab/>
          </w:r>
          <w:r>
            <w:fldChar w:fldCharType="begin"/>
          </w:r>
          <w:r>
            <w:instrText xml:space="preserve"> PAGEREF _Toc14073 \h </w:instrText>
          </w:r>
          <w:r>
            <w:fldChar w:fldCharType="separate"/>
          </w:r>
          <w:r>
            <w:t>11</w:t>
          </w:r>
          <w:r>
            <w:fldChar w:fldCharType="end"/>
          </w:r>
          <w:r>
            <w:fldChar w:fldCharType="end"/>
          </w:r>
        </w:p>
        <w:p w14:paraId="074CD8D5">
          <w:pPr>
            <w:pStyle w:val="36"/>
            <w:tabs>
              <w:tab w:val="right" w:leader="dot" w:pos="8306"/>
            </w:tabs>
            <w:rPr>
              <w:b/>
            </w:rPr>
          </w:pPr>
          <w:r>
            <w:rPr>
              <w:b/>
            </w:rPr>
            <w:fldChar w:fldCharType="begin"/>
          </w:r>
          <w:r>
            <w:rPr>
              <w:b/>
            </w:rPr>
            <w:instrText xml:space="preserve"> HYPERLINK \l _Toc28588 </w:instrText>
          </w:r>
          <w:r>
            <w:rPr>
              <w:b/>
            </w:rPr>
            <w:fldChar w:fldCharType="separate"/>
          </w:r>
          <w:r>
            <w:rPr>
              <w:rFonts w:hint="eastAsia" w:ascii="黑体" w:hAnsi="黑体" w:eastAsia="黑体" w:cs="黑体"/>
              <w:b/>
              <w:szCs w:val="44"/>
            </w:rPr>
            <w:t xml:space="preserve">第三部分 </w:t>
          </w:r>
          <w:r>
            <w:rPr>
              <w:rFonts w:hint="eastAsia" w:ascii="黑体" w:hAnsi="黑体" w:eastAsia="黑体"/>
              <w:b/>
              <w:szCs w:val="44"/>
            </w:rPr>
            <w:t>名</w:t>
          </w:r>
          <w:r>
            <w:rPr>
              <w:rFonts w:hint="eastAsia" w:ascii="黑体" w:hAnsi="黑体" w:eastAsia="黑体"/>
              <w:b/>
            </w:rPr>
            <w:t>词解释</w:t>
          </w:r>
          <w:r>
            <w:rPr>
              <w:b/>
            </w:rPr>
            <w:tab/>
          </w:r>
          <w:r>
            <w:rPr>
              <w:b/>
            </w:rPr>
            <w:fldChar w:fldCharType="begin"/>
          </w:r>
          <w:r>
            <w:rPr>
              <w:b/>
            </w:rPr>
            <w:instrText xml:space="preserve"> PAGEREF _Toc28588 \h </w:instrText>
          </w:r>
          <w:r>
            <w:rPr>
              <w:b/>
            </w:rPr>
            <w:fldChar w:fldCharType="separate"/>
          </w:r>
          <w:r>
            <w:rPr>
              <w:b/>
            </w:rPr>
            <w:t>13</w:t>
          </w:r>
          <w:r>
            <w:rPr>
              <w:b/>
            </w:rPr>
            <w:fldChar w:fldCharType="end"/>
          </w:r>
          <w:r>
            <w:rPr>
              <w:b/>
            </w:rPr>
            <w:fldChar w:fldCharType="end"/>
          </w:r>
        </w:p>
        <w:p w14:paraId="6E650C4C">
          <w:pPr>
            <w:pStyle w:val="36"/>
            <w:tabs>
              <w:tab w:val="right" w:leader="dot" w:pos="8306"/>
            </w:tabs>
            <w:rPr>
              <w:b/>
            </w:rPr>
          </w:pPr>
          <w:r>
            <w:rPr>
              <w:b/>
            </w:rPr>
            <w:fldChar w:fldCharType="begin"/>
          </w:r>
          <w:r>
            <w:rPr>
              <w:b/>
            </w:rPr>
            <w:instrText xml:space="preserve"> HYPERLINK \l _Toc28476 </w:instrText>
          </w:r>
          <w:r>
            <w:rPr>
              <w:b/>
            </w:rPr>
            <w:fldChar w:fldCharType="separate"/>
          </w:r>
          <w:r>
            <w:rPr>
              <w:rFonts w:hint="eastAsia" w:ascii="黑体" w:hAnsi="黑体" w:eastAsia="黑体"/>
              <w:b/>
              <w:szCs w:val="44"/>
            </w:rPr>
            <w:t>第</w:t>
          </w:r>
          <w:r>
            <w:rPr>
              <w:rFonts w:hint="eastAsia" w:ascii="黑体" w:hAnsi="黑体" w:eastAsia="黑体"/>
              <w:b/>
            </w:rPr>
            <w:t>四部分 附件</w:t>
          </w:r>
          <w:r>
            <w:rPr>
              <w:b/>
            </w:rPr>
            <w:tab/>
          </w:r>
          <w:r>
            <w:rPr>
              <w:b/>
            </w:rPr>
            <w:fldChar w:fldCharType="begin"/>
          </w:r>
          <w:r>
            <w:rPr>
              <w:b/>
            </w:rPr>
            <w:instrText xml:space="preserve"> PAGEREF _Toc28476 \h </w:instrText>
          </w:r>
          <w:r>
            <w:rPr>
              <w:b/>
            </w:rPr>
            <w:fldChar w:fldCharType="separate"/>
          </w:r>
          <w:r>
            <w:rPr>
              <w:b/>
            </w:rPr>
            <w:t>16</w:t>
          </w:r>
          <w:r>
            <w:rPr>
              <w:b/>
            </w:rPr>
            <w:fldChar w:fldCharType="end"/>
          </w:r>
          <w:r>
            <w:rPr>
              <w:b/>
            </w:rPr>
            <w:fldChar w:fldCharType="end"/>
          </w:r>
        </w:p>
        <w:p w14:paraId="636C9E53">
          <w:pPr>
            <w:pStyle w:val="37"/>
            <w:tabs>
              <w:tab w:val="right" w:leader="dot" w:pos="8306"/>
            </w:tabs>
            <w:rPr>
              <w:rFonts w:hint="eastAsia" w:eastAsia="宋体"/>
              <w:lang w:val="en-US" w:eastAsia="zh-CN"/>
            </w:rPr>
          </w:pPr>
          <w:r>
            <w:fldChar w:fldCharType="begin"/>
          </w:r>
          <w:r>
            <w:instrText xml:space="preserve"> HYPERLINK \l _Toc19220 </w:instrText>
          </w:r>
          <w:r>
            <w:fldChar w:fldCharType="separate"/>
          </w:r>
          <w:r>
            <w:rPr>
              <w:rFonts w:hint="eastAsia"/>
              <w:szCs w:val="32"/>
            </w:rPr>
            <w:t>部门预算项目支出绩效自评表（2023年度）</w:t>
          </w:r>
          <w:r>
            <w:tab/>
          </w:r>
          <w:r>
            <w:rPr>
              <w:rFonts w:hint="eastAsia"/>
              <w:lang w:val="en-US" w:eastAsia="zh-CN"/>
            </w:rPr>
            <w:t>1</w:t>
          </w:r>
          <w:r>
            <w:fldChar w:fldCharType="end"/>
          </w:r>
          <w:r>
            <w:rPr>
              <w:rFonts w:hint="eastAsia"/>
              <w:lang w:val="en-US" w:eastAsia="zh-CN"/>
            </w:rPr>
            <w:t>7</w:t>
          </w:r>
        </w:p>
        <w:p w14:paraId="2B18C2DC">
          <w:pPr>
            <w:pStyle w:val="36"/>
            <w:tabs>
              <w:tab w:val="right" w:leader="dot" w:pos="8306"/>
            </w:tabs>
            <w:rPr>
              <w:b/>
            </w:rPr>
          </w:pPr>
          <w:r>
            <w:rPr>
              <w:b/>
            </w:rPr>
            <w:fldChar w:fldCharType="begin"/>
          </w:r>
          <w:r>
            <w:rPr>
              <w:b/>
            </w:rPr>
            <w:instrText xml:space="preserve"> HYPERLINK \l _Toc23619 </w:instrText>
          </w:r>
          <w:r>
            <w:rPr>
              <w:b/>
            </w:rPr>
            <w:fldChar w:fldCharType="separate"/>
          </w:r>
          <w:r>
            <w:rPr>
              <w:rFonts w:hint="eastAsia" w:ascii="黑体" w:hAnsi="黑体" w:eastAsia="黑体"/>
              <w:b/>
              <w:szCs w:val="44"/>
            </w:rPr>
            <w:t>第</w:t>
          </w:r>
          <w:r>
            <w:rPr>
              <w:rFonts w:hint="eastAsia" w:ascii="黑体" w:hAnsi="黑体" w:eastAsia="黑体"/>
              <w:b/>
            </w:rPr>
            <w:t>五部分 附表</w:t>
          </w:r>
          <w:r>
            <w:rPr>
              <w:b/>
            </w:rPr>
            <w:tab/>
          </w:r>
          <w:r>
            <w:rPr>
              <w:b/>
            </w:rPr>
            <w:fldChar w:fldCharType="begin"/>
          </w:r>
          <w:r>
            <w:rPr>
              <w:b/>
            </w:rPr>
            <w:instrText xml:space="preserve"> PAGEREF _Toc23619 \h </w:instrText>
          </w:r>
          <w:r>
            <w:rPr>
              <w:b/>
            </w:rPr>
            <w:fldChar w:fldCharType="separate"/>
          </w:r>
          <w:r>
            <w:rPr>
              <w:b/>
            </w:rPr>
            <w:t>19</w:t>
          </w:r>
          <w:r>
            <w:rPr>
              <w:b/>
            </w:rPr>
            <w:fldChar w:fldCharType="end"/>
          </w:r>
          <w:r>
            <w:rPr>
              <w:b/>
            </w:rPr>
            <w:fldChar w:fldCharType="end"/>
          </w:r>
        </w:p>
        <w:p w14:paraId="7A44808E">
          <w:pPr>
            <w:pStyle w:val="37"/>
            <w:tabs>
              <w:tab w:val="right" w:leader="dot" w:pos="8306"/>
            </w:tabs>
          </w:pPr>
          <w:r>
            <w:fldChar w:fldCharType="begin"/>
          </w:r>
          <w:r>
            <w:instrText xml:space="preserve"> HYPERLINK \l _Toc16775 </w:instrText>
          </w:r>
          <w:r>
            <w:fldChar w:fldCharType="separate"/>
          </w:r>
          <w:r>
            <w:rPr>
              <w:rFonts w:hint="eastAsia" w:ascii="仿宋" w:hAnsi="仿宋" w:eastAsia="仿宋"/>
            </w:rPr>
            <w:t>一、收</w:t>
          </w:r>
          <w:r>
            <w:rPr>
              <w:rFonts w:hint="eastAsia" w:ascii="仿宋" w:hAnsi="仿宋" w:eastAsia="仿宋"/>
              <w:bCs w:val="0"/>
            </w:rPr>
            <w:t>入支出决算总表</w:t>
          </w:r>
          <w:r>
            <w:tab/>
          </w:r>
          <w:r>
            <w:fldChar w:fldCharType="begin"/>
          </w:r>
          <w:r>
            <w:instrText xml:space="preserve"> PAGEREF _Toc16775 \h </w:instrText>
          </w:r>
          <w:r>
            <w:fldChar w:fldCharType="separate"/>
          </w:r>
          <w:r>
            <w:t>19</w:t>
          </w:r>
          <w:r>
            <w:fldChar w:fldCharType="end"/>
          </w:r>
          <w:r>
            <w:fldChar w:fldCharType="end"/>
          </w:r>
        </w:p>
        <w:p w14:paraId="2FB31A8F">
          <w:pPr>
            <w:pStyle w:val="37"/>
            <w:tabs>
              <w:tab w:val="right" w:leader="dot" w:pos="8306"/>
            </w:tabs>
          </w:pPr>
          <w:r>
            <w:fldChar w:fldCharType="begin"/>
          </w:r>
          <w:r>
            <w:instrText xml:space="preserve"> HYPERLINK \l _Toc29304 </w:instrText>
          </w:r>
          <w:r>
            <w:fldChar w:fldCharType="separate"/>
          </w:r>
          <w:r>
            <w:rPr>
              <w:rFonts w:hint="eastAsia" w:ascii="仿宋" w:hAnsi="仿宋" w:eastAsia="仿宋"/>
            </w:rPr>
            <w:t>二、收</w:t>
          </w:r>
          <w:r>
            <w:rPr>
              <w:rFonts w:hint="eastAsia" w:ascii="仿宋" w:hAnsi="仿宋" w:eastAsia="仿宋"/>
              <w:bCs w:val="0"/>
            </w:rPr>
            <w:t>入决算表</w:t>
          </w:r>
          <w:r>
            <w:tab/>
          </w:r>
          <w:r>
            <w:fldChar w:fldCharType="begin"/>
          </w:r>
          <w:r>
            <w:instrText xml:space="preserve"> PAGEREF _Toc29304 \h </w:instrText>
          </w:r>
          <w:r>
            <w:fldChar w:fldCharType="separate"/>
          </w:r>
          <w:r>
            <w:t>19</w:t>
          </w:r>
          <w:r>
            <w:fldChar w:fldCharType="end"/>
          </w:r>
          <w:r>
            <w:fldChar w:fldCharType="end"/>
          </w:r>
        </w:p>
        <w:p w14:paraId="0670624C">
          <w:pPr>
            <w:pStyle w:val="37"/>
            <w:tabs>
              <w:tab w:val="right" w:leader="dot" w:pos="8306"/>
            </w:tabs>
          </w:pPr>
          <w:r>
            <w:fldChar w:fldCharType="begin"/>
          </w:r>
          <w:r>
            <w:instrText xml:space="preserve"> HYPERLINK \l _Toc31710 </w:instrText>
          </w:r>
          <w:r>
            <w:fldChar w:fldCharType="separate"/>
          </w:r>
          <w:r>
            <w:rPr>
              <w:rFonts w:hint="eastAsia" w:ascii="仿宋" w:hAnsi="仿宋" w:eastAsia="仿宋"/>
              <w:bCs w:val="0"/>
            </w:rPr>
            <w:t>三、</w:t>
          </w:r>
          <w:r>
            <w:rPr>
              <w:rFonts w:hint="eastAsia" w:ascii="仿宋" w:hAnsi="仿宋" w:eastAsia="仿宋"/>
            </w:rPr>
            <w:t>支</w:t>
          </w:r>
          <w:r>
            <w:rPr>
              <w:rFonts w:hint="eastAsia" w:ascii="仿宋" w:hAnsi="仿宋" w:eastAsia="仿宋"/>
              <w:bCs w:val="0"/>
            </w:rPr>
            <w:t>出决算表</w:t>
          </w:r>
          <w:r>
            <w:tab/>
          </w:r>
          <w:r>
            <w:fldChar w:fldCharType="begin"/>
          </w:r>
          <w:r>
            <w:instrText xml:space="preserve"> PAGEREF _Toc31710 \h </w:instrText>
          </w:r>
          <w:r>
            <w:fldChar w:fldCharType="separate"/>
          </w:r>
          <w:r>
            <w:t>19</w:t>
          </w:r>
          <w:r>
            <w:fldChar w:fldCharType="end"/>
          </w:r>
          <w:r>
            <w:fldChar w:fldCharType="end"/>
          </w:r>
        </w:p>
        <w:p w14:paraId="6042C5A0">
          <w:pPr>
            <w:pStyle w:val="37"/>
            <w:tabs>
              <w:tab w:val="right" w:leader="dot" w:pos="8306"/>
            </w:tabs>
          </w:pPr>
          <w:r>
            <w:fldChar w:fldCharType="begin"/>
          </w:r>
          <w:r>
            <w:instrText xml:space="preserve"> HYPERLINK \l _Toc4015 </w:instrText>
          </w:r>
          <w:r>
            <w:fldChar w:fldCharType="separate"/>
          </w:r>
          <w:r>
            <w:rPr>
              <w:rFonts w:hint="eastAsia" w:ascii="仿宋" w:hAnsi="仿宋" w:eastAsia="仿宋"/>
              <w:bCs w:val="0"/>
            </w:rPr>
            <w:t>四、</w:t>
          </w:r>
          <w:r>
            <w:rPr>
              <w:rFonts w:hint="eastAsia" w:ascii="仿宋" w:hAnsi="仿宋" w:eastAsia="仿宋"/>
            </w:rPr>
            <w:t>财</w:t>
          </w:r>
          <w:r>
            <w:rPr>
              <w:rFonts w:hint="eastAsia" w:ascii="仿宋" w:hAnsi="仿宋" w:eastAsia="仿宋"/>
              <w:bCs w:val="0"/>
            </w:rPr>
            <w:t>政拨款收入支出决算总表</w:t>
          </w:r>
          <w:r>
            <w:tab/>
          </w:r>
          <w:r>
            <w:fldChar w:fldCharType="begin"/>
          </w:r>
          <w:r>
            <w:instrText xml:space="preserve"> PAGEREF _Toc4015 \h </w:instrText>
          </w:r>
          <w:r>
            <w:fldChar w:fldCharType="separate"/>
          </w:r>
          <w:r>
            <w:t>19</w:t>
          </w:r>
          <w:r>
            <w:fldChar w:fldCharType="end"/>
          </w:r>
          <w:r>
            <w:fldChar w:fldCharType="end"/>
          </w:r>
        </w:p>
        <w:p w14:paraId="34A53694">
          <w:pPr>
            <w:pStyle w:val="37"/>
            <w:tabs>
              <w:tab w:val="right" w:leader="dot" w:pos="8306"/>
            </w:tabs>
          </w:pPr>
          <w:r>
            <w:fldChar w:fldCharType="begin"/>
          </w:r>
          <w:r>
            <w:instrText xml:space="preserve"> HYPERLINK \l _Toc30241 </w:instrText>
          </w:r>
          <w:r>
            <w:fldChar w:fldCharType="separate"/>
          </w:r>
          <w:r>
            <w:rPr>
              <w:rFonts w:hint="eastAsia" w:ascii="仿宋" w:hAnsi="仿宋" w:eastAsia="仿宋"/>
              <w:bCs w:val="0"/>
            </w:rPr>
            <w:t>五、</w:t>
          </w:r>
          <w:r>
            <w:rPr>
              <w:rFonts w:hint="eastAsia" w:ascii="仿宋" w:hAnsi="仿宋" w:eastAsia="仿宋"/>
            </w:rPr>
            <w:t>财</w:t>
          </w:r>
          <w:r>
            <w:rPr>
              <w:rFonts w:hint="eastAsia" w:ascii="仿宋" w:hAnsi="仿宋" w:eastAsia="仿宋"/>
              <w:bCs w:val="0"/>
            </w:rPr>
            <w:t>政拨款支出决算明细表</w:t>
          </w:r>
          <w:r>
            <w:tab/>
          </w:r>
          <w:r>
            <w:fldChar w:fldCharType="begin"/>
          </w:r>
          <w:r>
            <w:instrText xml:space="preserve"> PAGEREF _Toc30241 \h </w:instrText>
          </w:r>
          <w:r>
            <w:fldChar w:fldCharType="separate"/>
          </w:r>
          <w:r>
            <w:t>19</w:t>
          </w:r>
          <w:r>
            <w:fldChar w:fldCharType="end"/>
          </w:r>
          <w:r>
            <w:fldChar w:fldCharType="end"/>
          </w:r>
        </w:p>
        <w:p w14:paraId="4FA622E3">
          <w:pPr>
            <w:pStyle w:val="37"/>
            <w:tabs>
              <w:tab w:val="right" w:leader="dot" w:pos="8306"/>
            </w:tabs>
          </w:pPr>
          <w:r>
            <w:fldChar w:fldCharType="begin"/>
          </w:r>
          <w:r>
            <w:instrText xml:space="preserve"> HYPERLINK \l _Toc1867 </w:instrText>
          </w:r>
          <w:r>
            <w:fldChar w:fldCharType="separate"/>
          </w:r>
          <w:r>
            <w:rPr>
              <w:rFonts w:hint="eastAsia" w:ascii="仿宋" w:hAnsi="仿宋" w:eastAsia="仿宋"/>
              <w:bCs w:val="0"/>
            </w:rPr>
            <w:t>六、</w:t>
          </w:r>
          <w:r>
            <w:rPr>
              <w:rFonts w:hint="eastAsia" w:ascii="仿宋" w:hAnsi="仿宋" w:eastAsia="仿宋"/>
            </w:rPr>
            <w:t>一</w:t>
          </w:r>
          <w:r>
            <w:rPr>
              <w:rFonts w:hint="eastAsia" w:ascii="仿宋" w:hAnsi="仿宋" w:eastAsia="仿宋"/>
              <w:bCs w:val="0"/>
            </w:rPr>
            <w:t>般公共预算财政拨款支出决算表</w:t>
          </w:r>
          <w:r>
            <w:tab/>
          </w:r>
          <w:r>
            <w:fldChar w:fldCharType="begin"/>
          </w:r>
          <w:r>
            <w:instrText xml:space="preserve"> PAGEREF _Toc1867 \h </w:instrText>
          </w:r>
          <w:r>
            <w:fldChar w:fldCharType="separate"/>
          </w:r>
          <w:r>
            <w:t>19</w:t>
          </w:r>
          <w:r>
            <w:fldChar w:fldCharType="end"/>
          </w:r>
          <w:r>
            <w:fldChar w:fldCharType="end"/>
          </w:r>
        </w:p>
        <w:p w14:paraId="757CC668">
          <w:pPr>
            <w:pStyle w:val="37"/>
            <w:tabs>
              <w:tab w:val="right" w:leader="dot" w:pos="8306"/>
            </w:tabs>
          </w:pPr>
          <w:r>
            <w:fldChar w:fldCharType="begin"/>
          </w:r>
          <w:r>
            <w:instrText xml:space="preserve"> HYPERLINK \l _Toc18361 </w:instrText>
          </w:r>
          <w:r>
            <w:fldChar w:fldCharType="separate"/>
          </w:r>
          <w:r>
            <w:rPr>
              <w:rFonts w:hint="eastAsia" w:ascii="仿宋" w:hAnsi="仿宋" w:eastAsia="仿宋"/>
              <w:bCs w:val="0"/>
            </w:rPr>
            <w:t>七、</w:t>
          </w:r>
          <w:r>
            <w:rPr>
              <w:rFonts w:hint="eastAsia" w:ascii="仿宋" w:hAnsi="仿宋" w:eastAsia="仿宋"/>
            </w:rPr>
            <w:t>一</w:t>
          </w:r>
          <w:r>
            <w:rPr>
              <w:rFonts w:hint="eastAsia" w:ascii="仿宋" w:hAnsi="仿宋" w:eastAsia="仿宋"/>
              <w:bCs w:val="0"/>
            </w:rPr>
            <w:t>般公共预算财政拨款支出决算明细表</w:t>
          </w:r>
          <w:r>
            <w:tab/>
          </w:r>
          <w:r>
            <w:fldChar w:fldCharType="begin"/>
          </w:r>
          <w:r>
            <w:instrText xml:space="preserve"> PAGEREF _Toc18361 \h </w:instrText>
          </w:r>
          <w:r>
            <w:fldChar w:fldCharType="separate"/>
          </w:r>
          <w:r>
            <w:t>19</w:t>
          </w:r>
          <w:r>
            <w:fldChar w:fldCharType="end"/>
          </w:r>
          <w:r>
            <w:fldChar w:fldCharType="end"/>
          </w:r>
        </w:p>
        <w:p w14:paraId="3777080A">
          <w:pPr>
            <w:pStyle w:val="37"/>
            <w:tabs>
              <w:tab w:val="right" w:leader="dot" w:pos="8306"/>
            </w:tabs>
          </w:pPr>
          <w:r>
            <w:fldChar w:fldCharType="begin"/>
          </w:r>
          <w:r>
            <w:instrText xml:space="preserve"> HYPERLINK \l _Toc9822 </w:instrText>
          </w:r>
          <w:r>
            <w:fldChar w:fldCharType="separate"/>
          </w:r>
          <w:r>
            <w:rPr>
              <w:rFonts w:hint="eastAsia" w:ascii="仿宋" w:hAnsi="仿宋" w:eastAsia="仿宋"/>
              <w:bCs w:val="0"/>
            </w:rPr>
            <w:t>八、</w:t>
          </w:r>
          <w:r>
            <w:rPr>
              <w:rFonts w:hint="eastAsia" w:ascii="仿宋" w:hAnsi="仿宋" w:eastAsia="仿宋"/>
            </w:rPr>
            <w:t>一</w:t>
          </w:r>
          <w:r>
            <w:rPr>
              <w:rFonts w:hint="eastAsia" w:ascii="仿宋" w:hAnsi="仿宋" w:eastAsia="仿宋"/>
              <w:bCs w:val="0"/>
            </w:rPr>
            <w:t>般公共预算财政拨款基本支出决算表</w:t>
          </w:r>
          <w:r>
            <w:tab/>
          </w:r>
          <w:r>
            <w:fldChar w:fldCharType="begin"/>
          </w:r>
          <w:r>
            <w:instrText xml:space="preserve"> PAGEREF _Toc9822 \h </w:instrText>
          </w:r>
          <w:r>
            <w:fldChar w:fldCharType="separate"/>
          </w:r>
          <w:r>
            <w:t>19</w:t>
          </w:r>
          <w:r>
            <w:fldChar w:fldCharType="end"/>
          </w:r>
          <w:r>
            <w:fldChar w:fldCharType="end"/>
          </w:r>
        </w:p>
        <w:p w14:paraId="7F945105">
          <w:pPr>
            <w:pStyle w:val="37"/>
            <w:tabs>
              <w:tab w:val="right" w:leader="dot" w:pos="8306"/>
            </w:tabs>
          </w:pPr>
          <w:r>
            <w:fldChar w:fldCharType="begin"/>
          </w:r>
          <w:r>
            <w:instrText xml:space="preserve"> HYPERLINK \l _Toc30611 </w:instrText>
          </w:r>
          <w:r>
            <w:fldChar w:fldCharType="separate"/>
          </w:r>
          <w:r>
            <w:rPr>
              <w:rFonts w:hint="eastAsia" w:ascii="仿宋" w:hAnsi="仿宋" w:eastAsia="仿宋"/>
              <w:bCs w:val="0"/>
            </w:rPr>
            <w:t>九、</w:t>
          </w:r>
          <w:r>
            <w:rPr>
              <w:rFonts w:hint="eastAsia" w:ascii="仿宋" w:hAnsi="仿宋" w:eastAsia="仿宋"/>
            </w:rPr>
            <w:t>一</w:t>
          </w:r>
          <w:r>
            <w:rPr>
              <w:rFonts w:hint="eastAsia" w:ascii="仿宋" w:hAnsi="仿宋" w:eastAsia="仿宋"/>
              <w:bCs w:val="0"/>
            </w:rPr>
            <w:t>般公共预算财政拨款项目支出决算表</w:t>
          </w:r>
          <w:r>
            <w:tab/>
          </w:r>
          <w:r>
            <w:fldChar w:fldCharType="begin"/>
          </w:r>
          <w:r>
            <w:instrText xml:space="preserve"> PAGEREF _Toc30611 \h </w:instrText>
          </w:r>
          <w:r>
            <w:fldChar w:fldCharType="separate"/>
          </w:r>
          <w:r>
            <w:t>19</w:t>
          </w:r>
          <w:r>
            <w:fldChar w:fldCharType="end"/>
          </w:r>
          <w:r>
            <w:fldChar w:fldCharType="end"/>
          </w:r>
        </w:p>
        <w:p w14:paraId="6720DE91">
          <w:pPr>
            <w:pStyle w:val="37"/>
            <w:tabs>
              <w:tab w:val="right" w:leader="dot" w:pos="8306"/>
            </w:tabs>
          </w:pPr>
          <w:r>
            <w:fldChar w:fldCharType="begin"/>
          </w:r>
          <w:r>
            <w:instrText xml:space="preserve"> HYPERLINK \l _Toc5557 </w:instrText>
          </w:r>
          <w:r>
            <w:fldChar w:fldCharType="separate"/>
          </w:r>
          <w:r>
            <w:rPr>
              <w:rFonts w:hint="eastAsia" w:ascii="仿宋" w:hAnsi="仿宋" w:eastAsia="仿宋"/>
              <w:bCs w:val="0"/>
            </w:rPr>
            <w:t>十、</w:t>
          </w:r>
          <w:r>
            <w:rPr>
              <w:rFonts w:hint="eastAsia" w:ascii="仿宋" w:hAnsi="仿宋" w:eastAsia="仿宋"/>
            </w:rPr>
            <w:t>政</w:t>
          </w:r>
          <w:r>
            <w:rPr>
              <w:rFonts w:hint="eastAsia" w:ascii="仿宋" w:hAnsi="仿宋" w:eastAsia="仿宋"/>
              <w:bCs w:val="0"/>
            </w:rPr>
            <w:t>府性基金预算财政拨款收入支出决算表</w:t>
          </w:r>
          <w:r>
            <w:tab/>
          </w:r>
          <w:r>
            <w:fldChar w:fldCharType="begin"/>
          </w:r>
          <w:r>
            <w:instrText xml:space="preserve"> PAGEREF _Toc5557 \h </w:instrText>
          </w:r>
          <w:r>
            <w:fldChar w:fldCharType="separate"/>
          </w:r>
          <w:r>
            <w:t>19</w:t>
          </w:r>
          <w:r>
            <w:fldChar w:fldCharType="end"/>
          </w:r>
          <w:r>
            <w:fldChar w:fldCharType="end"/>
          </w:r>
        </w:p>
        <w:p w14:paraId="1A3CE856">
          <w:pPr>
            <w:pStyle w:val="37"/>
            <w:tabs>
              <w:tab w:val="right" w:leader="dot" w:pos="8306"/>
            </w:tabs>
          </w:pPr>
          <w:r>
            <w:fldChar w:fldCharType="begin"/>
          </w:r>
          <w:r>
            <w:instrText xml:space="preserve"> HYPERLINK \l _Toc14968 </w:instrText>
          </w:r>
          <w:r>
            <w:fldChar w:fldCharType="separate"/>
          </w:r>
          <w:r>
            <w:rPr>
              <w:rFonts w:hint="eastAsia" w:ascii="仿宋" w:hAnsi="仿宋" w:eastAsia="仿宋"/>
              <w:bCs w:val="0"/>
            </w:rPr>
            <w:t>十一、</w:t>
          </w:r>
          <w:r>
            <w:rPr>
              <w:rFonts w:hint="eastAsia" w:ascii="仿宋" w:hAnsi="仿宋" w:eastAsia="仿宋"/>
            </w:rPr>
            <w:t>国</w:t>
          </w:r>
          <w:r>
            <w:rPr>
              <w:rFonts w:hint="eastAsia" w:ascii="仿宋" w:hAnsi="仿宋" w:eastAsia="仿宋"/>
              <w:bCs w:val="0"/>
            </w:rPr>
            <w:t>有资本经营预算财政拨款收入支出决算表</w:t>
          </w:r>
          <w:r>
            <w:tab/>
          </w:r>
          <w:r>
            <w:fldChar w:fldCharType="begin"/>
          </w:r>
          <w:r>
            <w:instrText xml:space="preserve"> PAGEREF _Toc14968 \h </w:instrText>
          </w:r>
          <w:r>
            <w:fldChar w:fldCharType="separate"/>
          </w:r>
          <w:r>
            <w:t>19</w:t>
          </w:r>
          <w:r>
            <w:fldChar w:fldCharType="end"/>
          </w:r>
          <w:r>
            <w:fldChar w:fldCharType="end"/>
          </w:r>
        </w:p>
        <w:p w14:paraId="436586DA">
          <w:pPr>
            <w:pStyle w:val="37"/>
            <w:tabs>
              <w:tab w:val="right" w:leader="dot" w:pos="8306"/>
            </w:tabs>
          </w:pPr>
          <w:r>
            <w:fldChar w:fldCharType="begin"/>
          </w:r>
          <w:r>
            <w:instrText xml:space="preserve"> HYPERLINK \l _Toc29029 </w:instrText>
          </w:r>
          <w:r>
            <w:fldChar w:fldCharType="separate"/>
          </w:r>
          <w:r>
            <w:rPr>
              <w:rFonts w:hint="eastAsia" w:ascii="仿宋" w:hAnsi="仿宋" w:eastAsia="仿宋"/>
              <w:bCs w:val="0"/>
            </w:rPr>
            <w:t>十二、国有资本经营预算财政拨款支出决算表</w:t>
          </w:r>
          <w:r>
            <w:tab/>
          </w:r>
          <w:r>
            <w:fldChar w:fldCharType="begin"/>
          </w:r>
          <w:r>
            <w:instrText xml:space="preserve"> PAGEREF _Toc29029 \h </w:instrText>
          </w:r>
          <w:r>
            <w:fldChar w:fldCharType="separate"/>
          </w:r>
          <w:r>
            <w:t>19</w:t>
          </w:r>
          <w:r>
            <w:fldChar w:fldCharType="end"/>
          </w:r>
          <w:r>
            <w:fldChar w:fldCharType="end"/>
          </w:r>
        </w:p>
        <w:p w14:paraId="74331DAF">
          <w:pPr>
            <w:pStyle w:val="37"/>
            <w:tabs>
              <w:tab w:val="right" w:leader="dot" w:pos="8306"/>
            </w:tabs>
          </w:pPr>
          <w:r>
            <w:fldChar w:fldCharType="begin"/>
          </w:r>
          <w:r>
            <w:instrText xml:space="preserve"> HYPERLINK \l _Toc13552 </w:instrText>
          </w:r>
          <w:r>
            <w:fldChar w:fldCharType="separate"/>
          </w:r>
          <w:r>
            <w:rPr>
              <w:rFonts w:hint="eastAsia" w:ascii="仿宋" w:hAnsi="仿宋" w:eastAsia="仿宋"/>
              <w:bCs w:val="0"/>
            </w:rPr>
            <w:t>十三、财政拨款“三公”经费支出决算表</w:t>
          </w:r>
          <w:r>
            <w:tab/>
          </w:r>
          <w:r>
            <w:fldChar w:fldCharType="begin"/>
          </w:r>
          <w:r>
            <w:instrText xml:space="preserve"> PAGEREF _Toc13552 \h </w:instrText>
          </w:r>
          <w:r>
            <w:fldChar w:fldCharType="separate"/>
          </w:r>
          <w:r>
            <w:t>19</w:t>
          </w:r>
          <w:r>
            <w:fldChar w:fldCharType="end"/>
          </w:r>
          <w:r>
            <w:fldChar w:fldCharType="end"/>
          </w:r>
        </w:p>
        <w:p w14:paraId="1443D643">
          <w:pPr>
            <w:rPr>
              <w:b/>
            </w:rPr>
          </w:pPr>
          <w:r>
            <w:rPr>
              <w:b/>
            </w:rPr>
            <w:fldChar w:fldCharType="end"/>
          </w:r>
        </w:p>
      </w:sdtContent>
    </w:sdt>
    <w:p w14:paraId="3B41550F">
      <w:pPr>
        <w:rPr>
          <w:b/>
        </w:rPr>
      </w:pPr>
    </w:p>
    <w:p w14:paraId="0B7CF01C">
      <w:pPr>
        <w:pStyle w:val="3"/>
        <w:jc w:val="center"/>
        <w:rPr>
          <w:rStyle w:val="30"/>
          <w:rFonts w:ascii="黑体" w:hAnsi="黑体" w:eastAsia="黑体"/>
          <w:b/>
          <w:bCs w:val="0"/>
        </w:rPr>
      </w:pPr>
      <w:bookmarkStart w:id="16" w:name="_Toc26806"/>
      <w:r>
        <w:rPr>
          <w:rFonts w:hint="eastAsia" w:ascii="黑体" w:hAnsi="黑体" w:eastAsia="黑体"/>
          <w:b w:val="0"/>
        </w:rPr>
        <w:t>第一部分 单位</w:t>
      </w:r>
      <w:r>
        <w:rPr>
          <w:rStyle w:val="30"/>
          <w:rFonts w:hint="eastAsia" w:ascii="黑体" w:hAnsi="黑体" w:eastAsia="黑体"/>
          <w:b w:val="0"/>
          <w:bCs w:val="0"/>
        </w:rPr>
        <w:t>概况</w:t>
      </w:r>
      <w:bookmarkEnd w:id="14"/>
      <w:bookmarkEnd w:id="15"/>
      <w:bookmarkEnd w:id="16"/>
    </w:p>
    <w:p w14:paraId="257DE403">
      <w:pPr>
        <w:pageBreakBefore w:val="0"/>
        <w:widowControl/>
        <w:kinsoku/>
        <w:wordWrap/>
        <w:overflowPunct/>
        <w:topLinePunct w:val="0"/>
        <w:autoSpaceDE/>
        <w:autoSpaceDN/>
        <w:bidi w:val="0"/>
        <w:adjustRightInd/>
        <w:snapToGrid/>
        <w:jc w:val="left"/>
        <w:textAlignment w:val="auto"/>
        <w:rPr>
          <w:rFonts w:ascii="黑体" w:eastAsia="黑体"/>
          <w:sz w:val="32"/>
          <w:szCs w:val="32"/>
        </w:rPr>
      </w:pPr>
    </w:p>
    <w:p w14:paraId="420CAD4D">
      <w:pPr>
        <w:pStyle w:val="4"/>
        <w:pageBreakBefore w:val="0"/>
        <w:numPr>
          <w:ilvl w:val="0"/>
          <w:numId w:val="1"/>
        </w:numPr>
        <w:kinsoku/>
        <w:wordWrap/>
        <w:overflowPunct/>
        <w:topLinePunct w:val="0"/>
        <w:autoSpaceDE/>
        <w:autoSpaceDN/>
        <w:bidi w:val="0"/>
        <w:adjustRightInd/>
        <w:snapToGrid/>
        <w:spacing w:before="0" w:after="0"/>
        <w:textAlignment w:val="auto"/>
        <w:rPr>
          <w:rStyle w:val="31"/>
          <w:rFonts w:ascii="黑体" w:hAnsi="黑体" w:eastAsia="黑体"/>
          <w:b w:val="0"/>
          <w:bCs w:val="0"/>
        </w:rPr>
      </w:pPr>
      <w:bookmarkStart w:id="17" w:name="_Toc18933"/>
      <w:bookmarkStart w:id="18" w:name="_Toc15377197"/>
      <w:bookmarkStart w:id="19" w:name="_Toc15396600"/>
      <w:r>
        <w:rPr>
          <w:rStyle w:val="31"/>
          <w:rFonts w:hint="eastAsia" w:ascii="黑体" w:hAnsi="黑体" w:eastAsia="黑体"/>
          <w:b w:val="0"/>
          <w:bCs w:val="0"/>
        </w:rPr>
        <w:t>主要职责</w:t>
      </w:r>
      <w:bookmarkEnd w:id="17"/>
    </w:p>
    <w:p w14:paraId="1AE467EB">
      <w:pPr>
        <w:pageBreakBefore w:val="0"/>
        <w:widowControl/>
        <w:kinsoku/>
        <w:wordWrap/>
        <w:overflowPunct/>
        <w:topLinePunct w:val="0"/>
        <w:autoSpaceDE/>
        <w:autoSpaceDN/>
        <w:bidi w:val="0"/>
        <w:adjustRightInd/>
        <w:snapToGrid/>
        <w:ind w:firstLine="640" w:firstLineChars="200"/>
        <w:jc w:val="left"/>
        <w:textAlignment w:val="auto"/>
        <w:rPr>
          <w:rFonts w:hint="eastAsia" w:ascii="仿宋" w:hAnsi="仿宋" w:eastAsia="仿宋"/>
          <w:sz w:val="32"/>
          <w:szCs w:val="32"/>
        </w:rPr>
      </w:pPr>
      <w:r>
        <w:rPr>
          <w:rFonts w:hint="eastAsia" w:ascii="仿宋" w:hAnsi="仿宋" w:eastAsia="仿宋"/>
          <w:sz w:val="32"/>
          <w:szCs w:val="32"/>
        </w:rPr>
        <w:t>从事教育及教学服务，负责文聚所属5个行政村的初中和小学教育教学，回报社会。</w:t>
      </w:r>
    </w:p>
    <w:p w14:paraId="0DF04906">
      <w:pPr>
        <w:pageBreakBefore w:val="0"/>
        <w:widowControl/>
        <w:kinsoku/>
        <w:wordWrap/>
        <w:overflowPunct/>
        <w:topLinePunct w:val="0"/>
        <w:autoSpaceDE/>
        <w:autoSpaceDN/>
        <w:bidi w:val="0"/>
        <w:adjustRightInd/>
        <w:snapToGrid/>
        <w:ind w:firstLine="640" w:firstLineChars="200"/>
        <w:jc w:val="left"/>
        <w:textAlignment w:val="auto"/>
        <w:rPr>
          <w:rFonts w:hint="eastAsia" w:ascii="仿宋" w:hAnsi="仿宋" w:eastAsia="仿宋"/>
          <w:sz w:val="32"/>
          <w:szCs w:val="32"/>
        </w:rPr>
      </w:pPr>
      <w:r>
        <w:rPr>
          <w:rFonts w:hint="eastAsia" w:ascii="仿宋" w:hAnsi="仿宋" w:eastAsia="仿宋"/>
          <w:sz w:val="32"/>
          <w:szCs w:val="32"/>
        </w:rPr>
        <w:t>一是实施开展好辖区内适龄儿童的义务教育，推动学校教育教学工作顺利进行，完成年度教育教学任务。</w:t>
      </w:r>
    </w:p>
    <w:p w14:paraId="6B6CECD3">
      <w:pPr>
        <w:pageBreakBefore w:val="0"/>
        <w:widowControl/>
        <w:kinsoku/>
        <w:wordWrap/>
        <w:overflowPunct/>
        <w:topLinePunct w:val="0"/>
        <w:autoSpaceDE/>
        <w:autoSpaceDN/>
        <w:bidi w:val="0"/>
        <w:adjustRightInd/>
        <w:snapToGrid/>
        <w:ind w:firstLine="640" w:firstLineChars="200"/>
        <w:jc w:val="left"/>
        <w:textAlignment w:val="auto"/>
        <w:rPr>
          <w:rFonts w:hint="eastAsia" w:ascii="仿宋" w:hAnsi="仿宋" w:eastAsia="仿宋"/>
          <w:sz w:val="32"/>
          <w:szCs w:val="32"/>
          <w:lang w:eastAsia="zh-CN"/>
        </w:rPr>
      </w:pPr>
      <w:r>
        <w:rPr>
          <w:rFonts w:hint="eastAsia" w:ascii="仿宋" w:hAnsi="仿宋" w:eastAsia="仿宋"/>
          <w:sz w:val="32"/>
          <w:szCs w:val="32"/>
        </w:rPr>
        <w:t>二是加强学校管理和教师队伍建设，提升教育教学质量。三是履行学校教育教学职责，探究农村留守儿童教育管理策略，促进留守儿童身心健康发展。</w:t>
      </w:r>
    </w:p>
    <w:p w14:paraId="4930A2C2">
      <w:pPr>
        <w:pageBreakBefore w:val="0"/>
        <w:widowControl/>
        <w:kinsoku/>
        <w:wordWrap/>
        <w:overflowPunct/>
        <w:topLinePunct w:val="0"/>
        <w:autoSpaceDE/>
        <w:autoSpaceDN/>
        <w:bidi w:val="0"/>
        <w:adjustRightInd/>
        <w:snapToGrid/>
        <w:ind w:firstLine="640" w:firstLineChars="200"/>
        <w:jc w:val="left"/>
        <w:textAlignment w:val="auto"/>
        <w:rPr>
          <w:rFonts w:hint="eastAsia" w:ascii="仿宋" w:hAnsi="仿宋" w:eastAsia="仿宋"/>
          <w:sz w:val="32"/>
          <w:szCs w:val="32"/>
        </w:rPr>
      </w:pPr>
      <w:r>
        <w:rPr>
          <w:rFonts w:hint="eastAsia" w:ascii="仿宋" w:hAnsi="仿宋" w:eastAsia="仿宋"/>
          <w:sz w:val="32"/>
          <w:szCs w:val="32"/>
        </w:rPr>
        <w:t>四是其他相关社会服务工作。</w:t>
      </w:r>
    </w:p>
    <w:p w14:paraId="06D98402">
      <w:pPr>
        <w:pStyle w:val="4"/>
        <w:pageBreakBefore w:val="0"/>
        <w:kinsoku/>
        <w:wordWrap/>
        <w:overflowPunct/>
        <w:topLinePunct w:val="0"/>
        <w:autoSpaceDE/>
        <w:autoSpaceDN/>
        <w:bidi w:val="0"/>
        <w:adjustRightInd/>
        <w:snapToGrid/>
        <w:spacing w:before="0" w:after="0"/>
        <w:textAlignment w:val="auto"/>
        <w:rPr>
          <w:rFonts w:ascii="黑体" w:hAnsi="黑体" w:eastAsia="黑体"/>
          <w:b w:val="0"/>
        </w:rPr>
      </w:pPr>
      <w:bookmarkStart w:id="20" w:name="_Toc1220"/>
      <w:r>
        <w:rPr>
          <w:rFonts w:hint="eastAsia" w:ascii="黑体" w:hAnsi="黑体" w:eastAsia="黑体"/>
          <w:b w:val="0"/>
        </w:rPr>
        <w:t>二、机构设置</w:t>
      </w:r>
      <w:bookmarkEnd w:id="20"/>
    </w:p>
    <w:bookmarkEnd w:id="18"/>
    <w:bookmarkEnd w:id="19"/>
    <w:p w14:paraId="55558B4A">
      <w:pPr>
        <w:pageBreakBefore w:val="0"/>
        <w:widowControl/>
        <w:kinsoku/>
        <w:wordWrap/>
        <w:overflowPunct/>
        <w:topLinePunct w:val="0"/>
        <w:autoSpaceDE/>
        <w:autoSpaceDN/>
        <w:bidi w:val="0"/>
        <w:adjustRightInd/>
        <w:snapToGrid/>
        <w:ind w:firstLine="640" w:firstLineChars="200"/>
        <w:jc w:val="left"/>
        <w:textAlignment w:val="auto"/>
        <w:rPr>
          <w:rFonts w:ascii="仿宋" w:hAnsi="仿宋" w:eastAsia="仿宋"/>
          <w:kern w:val="0"/>
          <w:sz w:val="32"/>
          <w:szCs w:val="32"/>
        </w:rPr>
      </w:pPr>
      <w:r>
        <w:rPr>
          <w:rFonts w:hint="eastAsia" w:ascii="仿宋" w:hAnsi="仿宋" w:eastAsia="仿宋"/>
          <w:sz w:val="32"/>
          <w:szCs w:val="32"/>
        </w:rPr>
        <w:t>射洪市武安镇文聚学校下属二级单位0个，其中行政单位0个，参照公务员法管理的事业单位0个，其他事业单位0个。</w:t>
      </w:r>
      <w:r>
        <w:rPr>
          <w:rFonts w:ascii="仿宋" w:hAnsi="仿宋" w:eastAsia="仿宋"/>
          <w:sz w:val="32"/>
          <w:szCs w:val="32"/>
        </w:rPr>
        <w:br w:type="page"/>
      </w:r>
    </w:p>
    <w:p w14:paraId="478899E9">
      <w:pPr>
        <w:pStyle w:val="3"/>
        <w:ind w:right="440"/>
        <w:jc w:val="center"/>
        <w:rPr>
          <w:rStyle w:val="30"/>
          <w:rFonts w:ascii="黑体" w:hAnsi="黑体" w:eastAsia="黑体"/>
          <w:b w:val="0"/>
          <w:bCs/>
        </w:rPr>
      </w:pPr>
      <w:bookmarkStart w:id="21" w:name="_Toc15396602"/>
      <w:bookmarkStart w:id="22" w:name="_Toc15377204"/>
      <w:bookmarkStart w:id="23" w:name="_Toc25445"/>
      <w:r>
        <w:rPr>
          <w:rFonts w:hint="eastAsia" w:ascii="黑体" w:hAnsi="黑体" w:eastAsia="黑体"/>
          <w:b w:val="0"/>
        </w:rPr>
        <w:t>第二部分 2023年度</w:t>
      </w:r>
      <w:r>
        <w:rPr>
          <w:rStyle w:val="30"/>
          <w:rFonts w:hint="eastAsia" w:ascii="黑体" w:hAnsi="黑体" w:eastAsia="黑体"/>
          <w:b w:val="0"/>
          <w:bCs/>
        </w:rPr>
        <w:t>单位决算情况说明</w:t>
      </w:r>
      <w:bookmarkEnd w:id="21"/>
      <w:bookmarkEnd w:id="22"/>
      <w:bookmarkEnd w:id="23"/>
    </w:p>
    <w:p w14:paraId="0CC289DA"/>
    <w:p w14:paraId="1667D3D0">
      <w:pPr>
        <w:pStyle w:val="29"/>
        <w:numPr>
          <w:ilvl w:val="0"/>
          <w:numId w:val="2"/>
        </w:numPr>
        <w:spacing w:line="600" w:lineRule="exact"/>
        <w:ind w:firstLineChars="0"/>
        <w:outlineLvl w:val="1"/>
        <w:rPr>
          <w:rStyle w:val="31"/>
          <w:rFonts w:ascii="黑体" w:hAnsi="黑体" w:eastAsia="黑体"/>
          <w:b w:val="0"/>
        </w:rPr>
      </w:pPr>
      <w:bookmarkStart w:id="24" w:name="_Toc15396603"/>
      <w:bookmarkStart w:id="25" w:name="_Toc15377205"/>
      <w:bookmarkStart w:id="26" w:name="_Toc23110"/>
      <w:r>
        <w:rPr>
          <w:rFonts w:hint="eastAsia" w:ascii="黑体" w:hAnsi="黑体" w:eastAsia="黑体"/>
          <w:sz w:val="32"/>
          <w:szCs w:val="32"/>
        </w:rPr>
        <w:t>收</w:t>
      </w:r>
      <w:r>
        <w:rPr>
          <w:rStyle w:val="31"/>
          <w:rFonts w:hint="eastAsia" w:ascii="黑体" w:hAnsi="黑体" w:eastAsia="黑体"/>
          <w:b w:val="0"/>
        </w:rPr>
        <w:t>入支出决算总体情况说明</w:t>
      </w:r>
      <w:bookmarkEnd w:id="24"/>
      <w:bookmarkEnd w:id="25"/>
      <w:bookmarkEnd w:id="26"/>
    </w:p>
    <w:p w14:paraId="59D1CC8D">
      <w:pPr>
        <w:spacing w:line="600" w:lineRule="exact"/>
        <w:ind w:firstLine="640" w:firstLineChars="200"/>
        <w:rPr>
          <w:rFonts w:ascii="仿宋" w:hAnsi="仿宋" w:eastAsia="仿宋"/>
          <w:sz w:val="32"/>
          <w:szCs w:val="32"/>
        </w:rPr>
      </w:pPr>
      <w:r>
        <w:rPr>
          <w:rFonts w:hint="eastAsia" w:ascii="仿宋" w:hAnsi="仿宋" w:eastAsia="仿宋" w:cs="Times New Roman"/>
          <w:sz w:val="32"/>
          <w:szCs w:val="32"/>
        </w:rPr>
        <w:t>2023年度收、支总计均为551.99万元。与2022年度相比，收、支总计各增加</w:t>
      </w:r>
      <w:r>
        <w:rPr>
          <w:rFonts w:hint="eastAsia" w:ascii="仿宋" w:hAnsi="仿宋" w:eastAsia="仿宋" w:cs="Times New Roman"/>
          <w:sz w:val="32"/>
          <w:szCs w:val="32"/>
          <w:lang w:val="en-US" w:eastAsia="zh-CN"/>
        </w:rPr>
        <w:t>37.88</w:t>
      </w:r>
      <w:r>
        <w:rPr>
          <w:rFonts w:hint="eastAsia" w:ascii="仿宋" w:hAnsi="仿宋" w:eastAsia="仿宋" w:cs="Times New Roman"/>
          <w:sz w:val="32"/>
          <w:szCs w:val="32"/>
        </w:rPr>
        <w:t>万元，增长</w:t>
      </w:r>
      <w:r>
        <w:rPr>
          <w:rFonts w:hint="eastAsia" w:ascii="仿宋" w:hAnsi="仿宋" w:eastAsia="仿宋" w:cs="Times New Roman"/>
          <w:sz w:val="32"/>
          <w:szCs w:val="32"/>
          <w:lang w:val="en-US" w:eastAsia="zh-CN"/>
        </w:rPr>
        <w:t>7.4</w:t>
      </w:r>
      <w:r>
        <w:rPr>
          <w:rFonts w:hint="eastAsia" w:ascii="仿宋" w:hAnsi="仿宋" w:eastAsia="仿宋" w:cs="Times New Roman"/>
          <w:sz w:val="32"/>
          <w:szCs w:val="32"/>
        </w:rPr>
        <w:t>%。主要变动原因是</w:t>
      </w:r>
      <w:r>
        <w:rPr>
          <w:rFonts w:hint="eastAsia" w:ascii="仿宋" w:hAnsi="仿宋" w:eastAsia="仿宋" w:cs="Times New Roman"/>
          <w:sz w:val="32"/>
          <w:szCs w:val="32"/>
          <w:lang w:val="en-US" w:eastAsia="zh-CN"/>
        </w:rPr>
        <w:t>为维护学校基本运行，人员经费和公</w:t>
      </w:r>
      <w:r>
        <w:rPr>
          <w:rFonts w:hint="eastAsia" w:ascii="仿宋" w:hAnsi="仿宋" w:eastAsia="仿宋"/>
          <w:sz w:val="32"/>
          <w:szCs w:val="32"/>
          <w:lang w:val="en-US" w:eastAsia="zh-CN"/>
        </w:rPr>
        <w:t>用经费的增加</w:t>
      </w:r>
      <w:r>
        <w:rPr>
          <w:rFonts w:hint="eastAsia" w:ascii="仿宋" w:hAnsi="仿宋" w:eastAsia="仿宋"/>
          <w:sz w:val="32"/>
          <w:szCs w:val="32"/>
        </w:rPr>
        <w:t>。</w:t>
      </w:r>
    </w:p>
    <w:p w14:paraId="48408E08">
      <w:pPr>
        <w:spacing w:line="600" w:lineRule="exact"/>
        <w:ind w:firstLine="640" w:firstLineChars="200"/>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w:t>
      </w:r>
    </w:p>
    <w:p w14:paraId="43DDFD40">
      <w:pPr>
        <w:pStyle w:val="29"/>
        <w:numPr>
          <w:ilvl w:val="0"/>
          <w:numId w:val="2"/>
        </w:numPr>
        <w:spacing w:line="600" w:lineRule="exact"/>
        <w:ind w:firstLineChars="0"/>
        <w:outlineLvl w:val="1"/>
        <w:rPr>
          <w:rStyle w:val="31"/>
          <w:rFonts w:ascii="黑体" w:hAnsi="黑体" w:eastAsia="黑体"/>
          <w:b w:val="0"/>
        </w:rPr>
      </w:pPr>
      <w:bookmarkStart w:id="27" w:name="_Toc15755"/>
      <w:bookmarkStart w:id="28" w:name="_Toc15377206"/>
      <w:bookmarkStart w:id="29" w:name="_Toc15396604"/>
      <w:r>
        <w:drawing>
          <wp:anchor distT="0" distB="0" distL="114300" distR="114300" simplePos="0" relativeHeight="251659264" behindDoc="0" locked="0" layoutInCell="1" allowOverlap="1">
            <wp:simplePos x="0" y="0"/>
            <wp:positionH relativeFrom="column">
              <wp:posOffset>700405</wp:posOffset>
            </wp:positionH>
            <wp:positionV relativeFrom="paragraph">
              <wp:posOffset>123825</wp:posOffset>
            </wp:positionV>
            <wp:extent cx="4023360" cy="2566035"/>
            <wp:effectExtent l="4445" t="4445" r="10795" b="5080"/>
            <wp:wrapTopAndBottom/>
            <wp:docPr id="2" name="图表 1" descr="7b0a202020202263686172745265734964223a20223230343736303835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Pr>
          <w:rFonts w:hint="eastAsia" w:ascii="黑体" w:hAnsi="黑体" w:eastAsia="黑体"/>
          <w:sz w:val="32"/>
          <w:szCs w:val="32"/>
        </w:rPr>
        <w:t>收</w:t>
      </w:r>
      <w:r>
        <w:rPr>
          <w:rStyle w:val="31"/>
          <w:rFonts w:hint="eastAsia" w:ascii="黑体" w:hAnsi="黑体" w:eastAsia="黑体"/>
          <w:b w:val="0"/>
        </w:rPr>
        <w:t>入决算情况说明</w:t>
      </w:r>
      <w:bookmarkEnd w:id="27"/>
      <w:bookmarkEnd w:id="28"/>
      <w:bookmarkEnd w:id="29"/>
    </w:p>
    <w:p w14:paraId="229D3481">
      <w:pPr>
        <w:spacing w:line="600" w:lineRule="exact"/>
        <w:ind w:firstLine="640" w:firstLineChars="200"/>
        <w:rPr>
          <w:rFonts w:hint="eastAsia" w:ascii="仿宋" w:hAnsi="仿宋" w:eastAsia="仿宋" w:cs="Times New Roman"/>
          <w:sz w:val="32"/>
          <w:szCs w:val="32"/>
        </w:rPr>
      </w:pPr>
      <w:bookmarkStart w:id="30" w:name="_Toc31600"/>
      <w:r>
        <w:rPr>
          <w:rFonts w:hint="eastAsia" w:ascii="仿宋" w:hAnsi="仿宋" w:eastAsia="仿宋" w:cs="Times New Roman"/>
          <w:sz w:val="32"/>
          <w:szCs w:val="32"/>
        </w:rPr>
        <w:t>2023年度本年收入合计551.99万元，其中：一般公共预算财政拨款收入551.99万元，占100%；政府性基金预算财政拨款收入0万元，占0%；国有资本经营预算财政拨款收入0万元，占0%；上级补助收入0万元，占0%；事业收入0万元，占0%；经营收入0万元，占0%；附属单位上缴收入0万元，占0%；其他收入0万元，占0%</w:t>
      </w:r>
      <w:bookmarkEnd w:id="30"/>
      <w:r>
        <w:rPr>
          <w:rFonts w:hint="eastAsia" w:ascii="仿宋" w:hAnsi="仿宋" w:eastAsia="仿宋"/>
          <w:sz w:val="32"/>
          <w:szCs w:val="32"/>
        </w:rPr>
        <w:t>。</w:t>
      </w:r>
    </w:p>
    <w:p w14:paraId="27201EA1">
      <w:pPr>
        <w:spacing w:line="600" w:lineRule="exact"/>
        <w:ind w:firstLine="420" w:firstLineChars="200"/>
        <w:outlineLvl w:val="9"/>
        <w:rPr>
          <w:rFonts w:ascii="仿宋" w:hAnsi="仿宋" w:eastAsia="仿宋"/>
          <w:sz w:val="32"/>
          <w:szCs w:val="32"/>
        </w:rPr>
      </w:pPr>
      <w:r>
        <w:drawing>
          <wp:anchor distT="0" distB="0" distL="114300" distR="114300" simplePos="0" relativeHeight="251664384" behindDoc="0" locked="0" layoutInCell="1" allowOverlap="1">
            <wp:simplePos x="0" y="0"/>
            <wp:positionH relativeFrom="column">
              <wp:posOffset>410210</wp:posOffset>
            </wp:positionH>
            <wp:positionV relativeFrom="paragraph">
              <wp:posOffset>808355</wp:posOffset>
            </wp:positionV>
            <wp:extent cx="4034790" cy="3006090"/>
            <wp:effectExtent l="4445" t="4445" r="14605" b="52705"/>
            <wp:wrapTopAndBottom/>
            <wp:docPr id="6" name="图表 5" descr="7b0a202020202263686172745265734964223a20223230343732323036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14:paraId="10E88956">
      <w:pPr>
        <w:spacing w:line="600" w:lineRule="exact"/>
        <w:ind w:firstLine="640" w:firstLineChars="200"/>
        <w:rPr>
          <w:rFonts w:ascii="仿宋" w:hAnsi="仿宋" w:eastAsia="仿宋"/>
          <w:sz w:val="32"/>
          <w:szCs w:val="32"/>
        </w:rPr>
      </w:pPr>
      <w:r>
        <w:rPr>
          <w:rFonts w:hint="eastAsia" w:ascii="仿宋" w:hAnsi="仿宋" w:eastAsia="仿宋"/>
          <w:sz w:val="32"/>
          <w:szCs w:val="32"/>
        </w:rPr>
        <w:t>（图2：收入决算结构图）</w:t>
      </w:r>
    </w:p>
    <w:p w14:paraId="6580094B">
      <w:pPr>
        <w:pStyle w:val="29"/>
        <w:numPr>
          <w:ilvl w:val="0"/>
          <w:numId w:val="2"/>
        </w:numPr>
        <w:spacing w:line="600" w:lineRule="exact"/>
        <w:ind w:firstLineChars="0"/>
        <w:outlineLvl w:val="1"/>
        <w:rPr>
          <w:rStyle w:val="31"/>
          <w:rFonts w:ascii="黑体" w:hAnsi="黑体" w:eastAsia="黑体"/>
          <w:b w:val="0"/>
        </w:rPr>
      </w:pPr>
      <w:bookmarkStart w:id="31" w:name="_Toc15377207"/>
      <w:bookmarkStart w:id="32" w:name="_Toc15396605"/>
      <w:bookmarkStart w:id="33" w:name="_Toc13541"/>
      <w:r>
        <w:rPr>
          <w:rFonts w:hint="eastAsia" w:ascii="黑体" w:hAnsi="黑体" w:eastAsia="黑体"/>
          <w:sz w:val="32"/>
          <w:szCs w:val="32"/>
        </w:rPr>
        <w:t>支</w:t>
      </w:r>
      <w:r>
        <w:rPr>
          <w:rStyle w:val="31"/>
          <w:rFonts w:hint="eastAsia" w:ascii="黑体" w:hAnsi="黑体" w:eastAsia="黑体"/>
          <w:b w:val="0"/>
        </w:rPr>
        <w:t>出决算情况说明</w:t>
      </w:r>
      <w:bookmarkEnd w:id="31"/>
      <w:bookmarkEnd w:id="32"/>
      <w:bookmarkEnd w:id="33"/>
    </w:p>
    <w:p w14:paraId="46C17030">
      <w:pPr>
        <w:spacing w:line="600" w:lineRule="exact"/>
        <w:ind w:firstLine="640" w:firstLineChars="200"/>
        <w:rPr>
          <w:rFonts w:hint="eastAsia" w:ascii="仿宋" w:hAnsi="仿宋" w:eastAsia="仿宋" w:cs="Times New Roman"/>
          <w:sz w:val="32"/>
          <w:szCs w:val="32"/>
        </w:rPr>
      </w:pPr>
      <w:bookmarkStart w:id="34" w:name="_Toc14512"/>
      <w:r>
        <w:rPr>
          <w:rFonts w:hint="eastAsia" w:ascii="仿宋" w:hAnsi="仿宋" w:eastAsia="仿宋" w:cs="Times New Roman"/>
          <w:sz w:val="32"/>
          <w:szCs w:val="32"/>
        </w:rPr>
        <w:t>2023年度本年支出合计551.99万元，其中：基本支出547.06万元，占99.1%；项目支出4.93万元，占0.</w:t>
      </w:r>
      <w:r>
        <w:rPr>
          <w:rFonts w:hint="eastAsia" w:ascii="仿宋" w:hAnsi="仿宋" w:eastAsia="仿宋" w:cs="Times New Roman"/>
          <w:sz w:val="32"/>
          <w:szCs w:val="32"/>
          <w:lang w:val="en-US" w:eastAsia="zh-CN"/>
        </w:rPr>
        <w:t>9</w:t>
      </w:r>
      <w:r>
        <w:rPr>
          <w:rFonts w:hint="eastAsia" w:ascii="仿宋" w:hAnsi="仿宋" w:eastAsia="仿宋" w:cs="Times New Roman"/>
          <w:sz w:val="32"/>
          <w:szCs w:val="32"/>
        </w:rPr>
        <w:t>%；上缴上级支出0万元，占0%；经营支出0万元，占0%；对附属单位补助支出0万元，占0%。</w:t>
      </w:r>
      <w:bookmarkEnd w:id="34"/>
    </w:p>
    <w:p w14:paraId="7E04464F">
      <w:pPr>
        <w:spacing w:line="600" w:lineRule="exact"/>
        <w:ind w:firstLine="420" w:firstLineChars="200"/>
        <w:rPr>
          <w:rFonts w:ascii="仿宋" w:hAnsi="仿宋" w:eastAsia="仿宋"/>
          <w:sz w:val="32"/>
          <w:szCs w:val="32"/>
        </w:rPr>
      </w:pPr>
      <w:r>
        <w:drawing>
          <wp:anchor distT="0" distB="0" distL="114300" distR="114300" simplePos="0" relativeHeight="251660288" behindDoc="0" locked="0" layoutInCell="1" allowOverlap="1">
            <wp:simplePos x="0" y="0"/>
            <wp:positionH relativeFrom="column">
              <wp:posOffset>735965</wp:posOffset>
            </wp:positionH>
            <wp:positionV relativeFrom="paragraph">
              <wp:posOffset>635635</wp:posOffset>
            </wp:positionV>
            <wp:extent cx="3768725" cy="3037205"/>
            <wp:effectExtent l="5080" t="4445" r="5715" b="6350"/>
            <wp:wrapTopAndBottom/>
            <wp:docPr id="7" name="图表 6" descr="7b0a202020202263686172745265734964223a20223230323931393734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rFonts w:hint="eastAsia" w:ascii="仿宋" w:hAnsi="仿宋" w:eastAsia="仿宋"/>
          <w:sz w:val="32"/>
          <w:szCs w:val="32"/>
        </w:rPr>
        <w:t>（图3：支出决算结构图）</w:t>
      </w:r>
    </w:p>
    <w:p w14:paraId="15827515">
      <w:pPr>
        <w:spacing w:line="600" w:lineRule="exact"/>
        <w:ind w:firstLine="640" w:firstLineChars="200"/>
        <w:rPr>
          <w:rFonts w:ascii="仿宋_GB2312" w:eastAsia="仿宋_GB2312"/>
          <w:sz w:val="32"/>
          <w:szCs w:val="32"/>
        </w:rPr>
      </w:pPr>
    </w:p>
    <w:p w14:paraId="3AB34495">
      <w:pPr>
        <w:spacing w:line="600" w:lineRule="exact"/>
        <w:ind w:firstLine="640" w:firstLineChars="200"/>
        <w:outlineLvl w:val="1"/>
        <w:rPr>
          <w:rStyle w:val="31"/>
          <w:rFonts w:ascii="黑体" w:hAnsi="黑体" w:eastAsia="黑体"/>
          <w:b w:val="0"/>
        </w:rPr>
      </w:pPr>
      <w:bookmarkStart w:id="35" w:name="_Toc15396606"/>
      <w:bookmarkStart w:id="36" w:name="_Toc15377208"/>
      <w:bookmarkStart w:id="37" w:name="_Toc22156"/>
      <w:r>
        <w:rPr>
          <w:rFonts w:hint="eastAsia" w:ascii="黑体" w:hAnsi="黑体" w:eastAsia="黑体"/>
          <w:sz w:val="32"/>
          <w:szCs w:val="32"/>
        </w:rPr>
        <w:t>四、财</w:t>
      </w:r>
      <w:r>
        <w:rPr>
          <w:rStyle w:val="31"/>
          <w:rFonts w:hint="eastAsia" w:ascii="黑体" w:hAnsi="黑体" w:eastAsia="黑体"/>
          <w:b w:val="0"/>
        </w:rPr>
        <w:t>政拨款收入支出决算总体情况说明</w:t>
      </w:r>
      <w:bookmarkEnd w:id="35"/>
      <w:bookmarkEnd w:id="36"/>
      <w:bookmarkEnd w:id="37"/>
    </w:p>
    <w:p w14:paraId="45E64B8B">
      <w:pPr>
        <w:spacing w:line="60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2023年度财政拨款收、支总计均为551.99万元。与2022年度相比，财政拨款收、支总计各增加</w:t>
      </w:r>
      <w:r>
        <w:rPr>
          <w:rFonts w:hint="eastAsia" w:ascii="仿宋" w:hAnsi="仿宋" w:eastAsia="仿宋" w:cs="Times New Roman"/>
          <w:sz w:val="32"/>
          <w:szCs w:val="32"/>
          <w:lang w:val="en-US" w:eastAsia="zh-CN"/>
        </w:rPr>
        <w:t>37.88</w:t>
      </w:r>
      <w:r>
        <w:rPr>
          <w:rFonts w:hint="eastAsia" w:ascii="仿宋" w:hAnsi="仿宋" w:eastAsia="仿宋" w:cs="Times New Roman"/>
          <w:sz w:val="32"/>
          <w:szCs w:val="32"/>
        </w:rPr>
        <w:t>万元，增长</w:t>
      </w:r>
      <w:r>
        <w:rPr>
          <w:rFonts w:hint="eastAsia" w:ascii="仿宋" w:hAnsi="仿宋" w:eastAsia="仿宋" w:cs="Times New Roman"/>
          <w:sz w:val="32"/>
          <w:szCs w:val="32"/>
          <w:lang w:val="en-US" w:eastAsia="zh-CN"/>
        </w:rPr>
        <w:t>7.4</w:t>
      </w:r>
      <w:r>
        <w:rPr>
          <w:rFonts w:hint="eastAsia" w:ascii="仿宋" w:hAnsi="仿宋" w:eastAsia="仿宋" w:cs="Times New Roman"/>
          <w:sz w:val="32"/>
          <w:szCs w:val="32"/>
        </w:rPr>
        <w:t>%。主要变动原因是</w:t>
      </w:r>
      <w:r>
        <w:rPr>
          <w:rFonts w:hint="eastAsia" w:ascii="仿宋" w:hAnsi="仿宋" w:eastAsia="仿宋" w:cs="Times New Roman"/>
          <w:sz w:val="32"/>
          <w:szCs w:val="32"/>
          <w:lang w:val="en-US" w:eastAsia="zh-CN"/>
        </w:rPr>
        <w:t>为维护学校基本运行，人员经费和公用经费的增加</w:t>
      </w:r>
      <w:r>
        <w:rPr>
          <w:rFonts w:hint="eastAsia" w:ascii="仿宋" w:hAnsi="仿宋" w:eastAsia="仿宋" w:cs="Times New Roman"/>
          <w:sz w:val="32"/>
          <w:szCs w:val="32"/>
        </w:rPr>
        <w:t>。</w:t>
      </w:r>
    </w:p>
    <w:p w14:paraId="7FAD3F08">
      <w:pPr>
        <w:spacing w:line="600" w:lineRule="exact"/>
        <w:ind w:firstLine="640" w:firstLineChars="200"/>
        <w:rPr>
          <w:rFonts w:ascii="仿宋" w:hAnsi="仿宋" w:eastAsia="仿宋"/>
          <w:sz w:val="32"/>
          <w:szCs w:val="32"/>
        </w:rPr>
      </w:pPr>
      <w:r>
        <w:rPr>
          <w:rFonts w:hint="eastAsia" w:ascii="仿宋" w:hAnsi="仿宋" w:eastAsia="仿宋"/>
          <w:sz w:val="32"/>
          <w:szCs w:val="32"/>
        </w:rPr>
        <w:t>（图4：财政拨款收、支决算总计变动情况）</w:t>
      </w:r>
    </w:p>
    <w:p w14:paraId="3EF2F8E4">
      <w:pPr>
        <w:spacing w:line="600" w:lineRule="exact"/>
        <w:ind w:firstLine="640"/>
        <w:rPr>
          <w:rFonts w:ascii="仿宋" w:hAnsi="仿宋" w:eastAsia="仿宋"/>
          <w:b/>
          <w:sz w:val="32"/>
          <w:szCs w:val="32"/>
        </w:rPr>
      </w:pPr>
      <w:r>
        <w:drawing>
          <wp:anchor distT="0" distB="0" distL="114300" distR="114300" simplePos="0" relativeHeight="251661312" behindDoc="0" locked="0" layoutInCell="1" allowOverlap="1">
            <wp:simplePos x="0" y="0"/>
            <wp:positionH relativeFrom="column">
              <wp:posOffset>694690</wp:posOffset>
            </wp:positionH>
            <wp:positionV relativeFrom="paragraph">
              <wp:posOffset>344805</wp:posOffset>
            </wp:positionV>
            <wp:extent cx="4023360" cy="2566035"/>
            <wp:effectExtent l="4445" t="4445" r="10795" b="5080"/>
            <wp:wrapTopAndBottom/>
            <wp:docPr id="1" name="图表 1" descr="7b0a202020202263686172745265734964223a20223230343736303835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7C08C398">
      <w:pPr>
        <w:spacing w:line="600" w:lineRule="exact"/>
        <w:ind w:firstLine="640" w:firstLineChars="200"/>
        <w:outlineLvl w:val="1"/>
        <w:rPr>
          <w:rStyle w:val="31"/>
          <w:rFonts w:ascii="黑体" w:hAnsi="黑体" w:eastAsia="黑体"/>
          <w:b w:val="0"/>
        </w:rPr>
      </w:pPr>
      <w:bookmarkStart w:id="38" w:name="_Toc15377209"/>
      <w:bookmarkStart w:id="39" w:name="_Toc15396607"/>
      <w:bookmarkStart w:id="40" w:name="_Toc7603"/>
      <w:r>
        <w:rPr>
          <w:rFonts w:hint="eastAsia" w:ascii="黑体" w:hAnsi="黑体" w:eastAsia="黑体"/>
          <w:sz w:val="32"/>
          <w:szCs w:val="32"/>
        </w:rPr>
        <w:t>五、</w:t>
      </w:r>
      <w:r>
        <w:rPr>
          <w:rFonts w:hint="eastAsia" w:ascii="黑体" w:hAnsi="黑体" w:eastAsia="黑体"/>
          <w:b/>
          <w:sz w:val="32"/>
          <w:szCs w:val="32"/>
        </w:rPr>
        <w:t>一</w:t>
      </w:r>
      <w:r>
        <w:rPr>
          <w:rStyle w:val="31"/>
          <w:rFonts w:hint="eastAsia" w:ascii="黑体" w:hAnsi="黑体" w:eastAsia="黑体"/>
          <w:b w:val="0"/>
        </w:rPr>
        <w:t>般公共预算财政拨款支出决算情况说明</w:t>
      </w:r>
      <w:bookmarkEnd w:id="38"/>
      <w:bookmarkEnd w:id="39"/>
      <w:bookmarkEnd w:id="40"/>
    </w:p>
    <w:p w14:paraId="684747BE">
      <w:pPr>
        <w:spacing w:line="600" w:lineRule="exact"/>
        <w:ind w:firstLine="643" w:firstLineChars="200"/>
        <w:outlineLvl w:val="2"/>
        <w:rPr>
          <w:rFonts w:ascii="仿宋" w:hAnsi="仿宋" w:eastAsia="仿宋"/>
          <w:b/>
          <w:sz w:val="32"/>
          <w:szCs w:val="32"/>
        </w:rPr>
      </w:pPr>
      <w:bookmarkStart w:id="41" w:name="_Toc15377210"/>
      <w:r>
        <w:rPr>
          <w:rFonts w:hint="eastAsia" w:ascii="仿宋" w:hAnsi="仿宋" w:eastAsia="仿宋"/>
          <w:b/>
          <w:sz w:val="32"/>
          <w:szCs w:val="32"/>
        </w:rPr>
        <w:t>（一）一般公共预算财政拨款支出决算总体情况</w:t>
      </w:r>
      <w:bookmarkEnd w:id="41"/>
    </w:p>
    <w:p w14:paraId="0724BF2A">
      <w:pPr>
        <w:spacing w:line="60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2023年度一般公共预算财政拨款支出551.99万元，占本年支出合计的100%。与2022年度相比，一般公共预算财政拨款支出增加</w:t>
      </w:r>
      <w:r>
        <w:rPr>
          <w:rFonts w:hint="eastAsia" w:ascii="仿宋" w:hAnsi="仿宋" w:eastAsia="仿宋" w:cs="Times New Roman"/>
          <w:sz w:val="32"/>
          <w:szCs w:val="32"/>
          <w:lang w:val="en-US" w:eastAsia="zh-CN"/>
        </w:rPr>
        <w:t>37.88</w:t>
      </w:r>
      <w:r>
        <w:rPr>
          <w:rFonts w:hint="eastAsia" w:ascii="仿宋" w:hAnsi="仿宋" w:eastAsia="仿宋" w:cs="Times New Roman"/>
          <w:sz w:val="32"/>
          <w:szCs w:val="32"/>
        </w:rPr>
        <w:t>万元，增长</w:t>
      </w:r>
      <w:r>
        <w:rPr>
          <w:rFonts w:hint="eastAsia" w:ascii="仿宋" w:hAnsi="仿宋" w:eastAsia="仿宋" w:cs="Times New Roman"/>
          <w:sz w:val="32"/>
          <w:szCs w:val="32"/>
          <w:lang w:val="en-US" w:eastAsia="zh-CN"/>
        </w:rPr>
        <w:t>7.4</w:t>
      </w:r>
      <w:r>
        <w:rPr>
          <w:rFonts w:hint="eastAsia" w:ascii="仿宋" w:hAnsi="仿宋" w:eastAsia="仿宋" w:cs="Times New Roman"/>
          <w:sz w:val="32"/>
          <w:szCs w:val="32"/>
        </w:rPr>
        <w:t>%。主要变动原因是</w:t>
      </w:r>
      <w:r>
        <w:rPr>
          <w:rFonts w:hint="eastAsia" w:ascii="仿宋" w:hAnsi="仿宋" w:eastAsia="仿宋" w:cs="Times New Roman"/>
          <w:sz w:val="32"/>
          <w:szCs w:val="32"/>
          <w:lang w:val="en-US" w:eastAsia="zh-CN"/>
        </w:rPr>
        <w:t>为维护学校基本运行，人员经费和公用经费的增加</w:t>
      </w:r>
      <w:r>
        <w:rPr>
          <w:rFonts w:hint="eastAsia" w:ascii="仿宋" w:hAnsi="仿宋" w:eastAsia="仿宋" w:cs="Times New Roman"/>
          <w:sz w:val="32"/>
          <w:szCs w:val="32"/>
        </w:rPr>
        <w:t>。</w:t>
      </w:r>
    </w:p>
    <w:p w14:paraId="29DC24FD">
      <w:pPr>
        <w:spacing w:line="600" w:lineRule="exact"/>
        <w:ind w:firstLine="640" w:firstLineChars="200"/>
        <w:rPr>
          <w:rFonts w:ascii="仿宋" w:hAnsi="仿宋" w:eastAsia="仿宋"/>
          <w:sz w:val="32"/>
          <w:szCs w:val="32"/>
        </w:rPr>
      </w:pPr>
    </w:p>
    <w:p w14:paraId="3C362582">
      <w:pPr>
        <w:spacing w:line="600" w:lineRule="exact"/>
        <w:ind w:firstLine="640" w:firstLineChars="200"/>
        <w:rPr>
          <w:rFonts w:ascii="仿宋" w:hAnsi="仿宋" w:eastAsia="仿宋"/>
          <w:sz w:val="32"/>
          <w:szCs w:val="32"/>
        </w:rPr>
      </w:pPr>
      <w:r>
        <w:rPr>
          <w:rFonts w:hint="eastAsia" w:ascii="仿宋" w:hAnsi="仿宋" w:eastAsia="仿宋"/>
          <w:sz w:val="32"/>
          <w:szCs w:val="32"/>
        </w:rPr>
        <w:t>（图5：一般公共预算财政拨款支出决算变动情况）</w:t>
      </w:r>
    </w:p>
    <w:p w14:paraId="19B9A239">
      <w:pPr>
        <w:spacing w:line="600" w:lineRule="exact"/>
        <w:ind w:firstLine="420" w:firstLineChars="200"/>
        <w:outlineLvl w:val="2"/>
        <w:rPr>
          <w:rFonts w:ascii="仿宋" w:hAnsi="仿宋" w:eastAsia="仿宋"/>
          <w:b/>
          <w:sz w:val="32"/>
          <w:szCs w:val="32"/>
        </w:rPr>
      </w:pPr>
      <w:bookmarkStart w:id="42" w:name="_Toc15377211"/>
      <w:r>
        <w:drawing>
          <wp:anchor distT="0" distB="0" distL="114300" distR="114300" simplePos="0" relativeHeight="251662336" behindDoc="0" locked="0" layoutInCell="1" allowOverlap="1">
            <wp:simplePos x="0" y="0"/>
            <wp:positionH relativeFrom="column">
              <wp:posOffset>548005</wp:posOffset>
            </wp:positionH>
            <wp:positionV relativeFrom="paragraph">
              <wp:posOffset>170815</wp:posOffset>
            </wp:positionV>
            <wp:extent cx="4030980" cy="2649855"/>
            <wp:effectExtent l="4445" t="4445" r="18415" b="12700"/>
            <wp:wrapTopAndBottom/>
            <wp:docPr id="12" name="图表 11" descr="7b0a202020202263686172745265734964223a20223230343736303835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eastAsia" w:ascii="仿宋" w:hAnsi="仿宋" w:eastAsia="仿宋"/>
          <w:b/>
          <w:sz w:val="32"/>
          <w:szCs w:val="32"/>
        </w:rPr>
        <w:t>（二）一般公共预算财政拨款支出决算结构情况</w:t>
      </w:r>
      <w:bookmarkEnd w:id="42"/>
    </w:p>
    <w:p w14:paraId="1CD90440">
      <w:pPr>
        <w:spacing w:line="600" w:lineRule="exact"/>
        <w:ind w:firstLine="640" w:firstLineChars="200"/>
        <w:rPr>
          <w:rFonts w:hint="eastAsia" w:ascii="仿宋" w:hAnsi="仿宋" w:eastAsia="仿宋" w:cs="Times New Roman"/>
          <w:sz w:val="32"/>
          <w:szCs w:val="32"/>
          <w:lang w:val="en-US"/>
        </w:rPr>
      </w:pPr>
      <w:r>
        <w:rPr>
          <w:rFonts w:hint="eastAsia" w:ascii="仿宋" w:hAnsi="仿宋" w:eastAsia="仿宋" w:cs="Times New Roman"/>
          <w:sz w:val="32"/>
          <w:szCs w:val="32"/>
        </w:rPr>
        <w:t>2023年度一般公共预算财政拨款支出551.99万元，主要用于以下方面:</w:t>
      </w:r>
      <w:r>
        <w:rPr>
          <w:rFonts w:hint="eastAsia" w:ascii="仿宋" w:hAnsi="仿宋" w:eastAsia="仿宋" w:cs="Times New Roman"/>
          <w:sz w:val="32"/>
          <w:szCs w:val="32"/>
          <w:lang w:val="en-US"/>
        </w:rPr>
        <w:t>支出409.51万元，占</w:t>
      </w:r>
      <w:r>
        <w:rPr>
          <w:rFonts w:hint="eastAsia" w:ascii="仿宋" w:hAnsi="仿宋" w:eastAsia="仿宋" w:cs="Times New Roman"/>
          <w:sz w:val="32"/>
          <w:szCs w:val="32"/>
          <w:lang w:val="en-US" w:eastAsia="zh-CN"/>
        </w:rPr>
        <w:t>74.2</w:t>
      </w:r>
      <w:r>
        <w:rPr>
          <w:rFonts w:hint="eastAsia" w:ascii="仿宋" w:hAnsi="仿宋" w:eastAsia="仿宋" w:cs="Times New Roman"/>
          <w:sz w:val="32"/>
          <w:szCs w:val="32"/>
          <w:lang w:val="en-US"/>
        </w:rPr>
        <w:t>%；社会保障和就业支出79.35万元，占</w:t>
      </w:r>
      <w:r>
        <w:rPr>
          <w:rFonts w:hint="eastAsia" w:ascii="仿宋" w:hAnsi="仿宋" w:eastAsia="仿宋" w:cs="Times New Roman"/>
          <w:sz w:val="32"/>
          <w:szCs w:val="32"/>
          <w:lang w:val="en-US" w:eastAsia="zh-CN"/>
        </w:rPr>
        <w:t>14.4</w:t>
      </w:r>
      <w:r>
        <w:rPr>
          <w:rFonts w:hint="eastAsia" w:ascii="仿宋" w:hAnsi="仿宋" w:eastAsia="仿宋" w:cs="Times New Roman"/>
          <w:sz w:val="32"/>
          <w:szCs w:val="32"/>
          <w:lang w:val="en-US"/>
        </w:rPr>
        <w:t>%；卫生健康支出21.47万元，占</w:t>
      </w:r>
      <w:r>
        <w:rPr>
          <w:rFonts w:hint="eastAsia" w:ascii="仿宋" w:hAnsi="仿宋" w:eastAsia="仿宋" w:cs="Times New Roman"/>
          <w:sz w:val="32"/>
          <w:szCs w:val="32"/>
          <w:lang w:val="en-US" w:eastAsia="zh-CN"/>
        </w:rPr>
        <w:t>3.9</w:t>
      </w:r>
      <w:r>
        <w:rPr>
          <w:rFonts w:hint="eastAsia" w:ascii="仿宋" w:hAnsi="仿宋" w:eastAsia="仿宋" w:cs="Times New Roman"/>
          <w:sz w:val="32"/>
          <w:szCs w:val="32"/>
          <w:lang w:val="en-US"/>
        </w:rPr>
        <w:t>%；农林水支出4.93万元，占</w:t>
      </w:r>
      <w:r>
        <w:rPr>
          <w:rFonts w:hint="eastAsia" w:ascii="仿宋" w:hAnsi="仿宋" w:eastAsia="仿宋" w:cs="Times New Roman"/>
          <w:sz w:val="32"/>
          <w:szCs w:val="32"/>
          <w:lang w:val="en-US" w:eastAsia="zh-CN"/>
        </w:rPr>
        <w:t>0.9</w:t>
      </w:r>
      <w:r>
        <w:rPr>
          <w:rFonts w:hint="eastAsia" w:ascii="仿宋" w:hAnsi="仿宋" w:eastAsia="仿宋" w:cs="Times New Roman"/>
          <w:sz w:val="32"/>
          <w:szCs w:val="32"/>
          <w:lang w:val="en-US"/>
        </w:rPr>
        <w:t>%；住房保障支出36.73万元，占</w:t>
      </w:r>
      <w:r>
        <w:rPr>
          <w:rFonts w:hint="eastAsia" w:ascii="仿宋" w:hAnsi="仿宋" w:eastAsia="仿宋" w:cs="Times New Roman"/>
          <w:sz w:val="32"/>
          <w:szCs w:val="32"/>
          <w:lang w:val="en-US" w:eastAsia="zh-CN"/>
        </w:rPr>
        <w:t>6.6</w:t>
      </w:r>
      <w:r>
        <w:rPr>
          <w:rFonts w:hint="eastAsia" w:ascii="仿宋" w:hAnsi="仿宋" w:eastAsia="仿宋" w:cs="Times New Roman"/>
          <w:sz w:val="32"/>
          <w:szCs w:val="32"/>
          <w:lang w:val="en-US"/>
        </w:rPr>
        <w:t>%。</w:t>
      </w:r>
    </w:p>
    <w:p w14:paraId="1390826B">
      <w:pPr>
        <w:spacing w:line="600" w:lineRule="exact"/>
        <w:ind w:firstLine="420" w:firstLineChars="200"/>
        <w:rPr>
          <w:rFonts w:ascii="仿宋" w:hAnsi="仿宋" w:eastAsia="仿宋"/>
          <w:b/>
          <w:sz w:val="32"/>
          <w:szCs w:val="32"/>
        </w:rPr>
      </w:pPr>
      <w:r>
        <w:drawing>
          <wp:anchor distT="0" distB="0" distL="114300" distR="114300" simplePos="0" relativeHeight="251665408" behindDoc="0" locked="0" layoutInCell="1" allowOverlap="1">
            <wp:simplePos x="0" y="0"/>
            <wp:positionH relativeFrom="column">
              <wp:posOffset>628015</wp:posOffset>
            </wp:positionH>
            <wp:positionV relativeFrom="paragraph">
              <wp:posOffset>668655</wp:posOffset>
            </wp:positionV>
            <wp:extent cx="3905885" cy="3075940"/>
            <wp:effectExtent l="4445" t="5080" r="6350" b="12700"/>
            <wp:wrapTopAndBottom/>
            <wp:docPr id="3" name="图表 2" descr="7b0a202020202263686172745265734964223a20223230343639393934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ascii="仿宋" w:hAnsi="仿宋" w:eastAsia="仿宋"/>
          <w:sz w:val="32"/>
          <w:szCs w:val="32"/>
        </w:rPr>
        <w:t>（图6：一般公共预算财政拨款支出决算结构）</w:t>
      </w:r>
    </w:p>
    <w:p w14:paraId="47BA5C10">
      <w:pPr>
        <w:spacing w:line="600" w:lineRule="exact"/>
        <w:ind w:firstLine="640"/>
        <w:rPr>
          <w:rFonts w:ascii="仿宋" w:hAnsi="仿宋" w:eastAsia="仿宋"/>
          <w:sz w:val="32"/>
          <w:szCs w:val="32"/>
        </w:rPr>
      </w:pPr>
    </w:p>
    <w:p w14:paraId="13758FC1">
      <w:pPr>
        <w:spacing w:line="600" w:lineRule="exact"/>
        <w:ind w:firstLine="643" w:firstLineChars="200"/>
        <w:outlineLvl w:val="2"/>
        <w:rPr>
          <w:rFonts w:ascii="仿宋" w:hAnsi="仿宋" w:eastAsia="仿宋"/>
          <w:b/>
          <w:sz w:val="32"/>
          <w:szCs w:val="32"/>
        </w:rPr>
      </w:pPr>
      <w:bookmarkStart w:id="43" w:name="_Toc15377212"/>
      <w:r>
        <w:rPr>
          <w:rFonts w:hint="eastAsia" w:ascii="仿宋" w:hAnsi="仿宋" w:eastAsia="仿宋"/>
          <w:b/>
          <w:sz w:val="32"/>
          <w:szCs w:val="32"/>
        </w:rPr>
        <w:t>（三）一般公共预算财政拨款支出决算具体情况</w:t>
      </w:r>
      <w:bookmarkEnd w:id="43"/>
    </w:p>
    <w:p w14:paraId="6C9ABC32">
      <w:pPr>
        <w:spacing w:line="600" w:lineRule="exact"/>
        <w:ind w:firstLine="643" w:firstLineChars="200"/>
        <w:outlineLvl w:val="1"/>
        <w:rPr>
          <w:rFonts w:ascii="仿宋" w:hAnsi="仿宋" w:eastAsia="仿宋"/>
          <w:sz w:val="32"/>
          <w:szCs w:val="32"/>
        </w:rPr>
      </w:pPr>
      <w:bookmarkStart w:id="44" w:name="_Toc15377444"/>
      <w:bookmarkStart w:id="45" w:name="_Toc14101"/>
      <w:bookmarkStart w:id="46" w:name="_Toc15378460"/>
      <w:bookmarkStart w:id="47" w:name="_Toc15377213"/>
      <w:r>
        <w:rPr>
          <w:rFonts w:hint="eastAsia" w:ascii="仿宋" w:hAnsi="仿宋" w:eastAsia="仿宋"/>
          <w:b/>
          <w:sz w:val="32"/>
          <w:szCs w:val="32"/>
        </w:rPr>
        <w:t>2023年度一般公共预算支出决算数为</w:t>
      </w:r>
      <w:r>
        <w:rPr>
          <w:rFonts w:ascii="仿宋" w:hAnsi="仿宋" w:eastAsia="仿宋"/>
          <w:b/>
          <w:sz w:val="32"/>
          <w:szCs w:val="32"/>
        </w:rPr>
        <w:t>551.99</w:t>
      </w:r>
      <w:r>
        <w:rPr>
          <w:rFonts w:hint="eastAsia" w:ascii="仿宋" w:hAnsi="仿宋" w:eastAsia="仿宋"/>
          <w:b/>
          <w:sz w:val="32"/>
          <w:szCs w:val="32"/>
          <w:lang w:eastAsia="zh-CN"/>
        </w:rPr>
        <w:t>万元</w:t>
      </w:r>
      <w:r>
        <w:rPr>
          <w:rFonts w:hint="eastAsia" w:ascii="仿宋" w:hAnsi="仿宋" w:eastAsia="仿宋"/>
          <w:sz w:val="32"/>
          <w:szCs w:val="32"/>
        </w:rPr>
        <w:t>，</w:t>
      </w:r>
      <w:bookmarkEnd w:id="44"/>
      <w:bookmarkEnd w:id="45"/>
      <w:bookmarkEnd w:id="46"/>
      <w:bookmarkEnd w:id="47"/>
      <w:r>
        <w:rPr>
          <w:rStyle w:val="19"/>
          <w:rFonts w:hint="eastAsia" w:ascii="仿宋" w:hAnsi="仿宋" w:eastAsia="仿宋"/>
          <w:bCs/>
          <w:sz w:val="32"/>
          <w:szCs w:val="32"/>
        </w:rPr>
        <w:t>完成预算</w:t>
      </w:r>
      <w:r>
        <w:rPr>
          <w:rStyle w:val="19"/>
          <w:rFonts w:hint="eastAsia" w:ascii="仿宋" w:hAnsi="仿宋" w:eastAsia="仿宋"/>
          <w:bCs/>
          <w:sz w:val="32"/>
          <w:szCs w:val="32"/>
          <w:lang w:val="en-US" w:eastAsia="zh-CN"/>
        </w:rPr>
        <w:t>100</w:t>
      </w:r>
      <w:r>
        <w:rPr>
          <w:rStyle w:val="19"/>
          <w:rFonts w:ascii="仿宋" w:hAnsi="仿宋" w:eastAsia="仿宋"/>
          <w:bCs/>
          <w:sz w:val="32"/>
          <w:szCs w:val="32"/>
        </w:rPr>
        <w:t>%</w:t>
      </w:r>
      <w:r>
        <w:rPr>
          <w:rStyle w:val="19"/>
          <w:rFonts w:hint="eastAsia" w:ascii="仿宋" w:hAnsi="仿宋" w:eastAsia="仿宋"/>
          <w:bCs/>
          <w:sz w:val="32"/>
          <w:szCs w:val="32"/>
        </w:rPr>
        <w:t>。其中：</w:t>
      </w:r>
    </w:p>
    <w:p w14:paraId="5F149F14">
      <w:pPr>
        <w:numPr>
          <w:ilvl w:val="0"/>
          <w:numId w:val="3"/>
        </w:numPr>
        <w:spacing w:line="600" w:lineRule="exact"/>
        <w:ind w:left="0" w:leftChars="0" w:firstLine="400" w:firstLineChars="0"/>
        <w:rPr>
          <w:rStyle w:val="19"/>
          <w:rFonts w:hint="eastAsia" w:ascii="仿宋" w:hAnsi="仿宋" w:eastAsia="仿宋" w:cstheme="minorBidi"/>
          <w:bCs/>
          <w:color w:val="auto"/>
          <w:sz w:val="32"/>
          <w:szCs w:val="32"/>
          <w:highlight w:val="none"/>
        </w:rPr>
      </w:pPr>
      <w:r>
        <w:rPr>
          <w:rStyle w:val="19"/>
          <w:rFonts w:hint="eastAsia" w:ascii="仿宋" w:hAnsi="仿宋" w:eastAsia="仿宋" w:cstheme="minorBidi"/>
          <w:bCs/>
          <w:color w:val="auto"/>
          <w:sz w:val="32"/>
          <w:szCs w:val="32"/>
          <w:highlight w:val="none"/>
        </w:rPr>
        <w:t>教育支出（类）普通教育（款）初中教育（项）:支出决算为2.02万元，完成预算</w:t>
      </w:r>
      <w:r>
        <w:rPr>
          <w:rStyle w:val="19"/>
          <w:rFonts w:hint="eastAsia" w:ascii="仿宋" w:hAnsi="仿宋" w:eastAsia="仿宋" w:cstheme="minorBidi"/>
          <w:bCs/>
          <w:color w:val="auto"/>
          <w:sz w:val="32"/>
          <w:szCs w:val="32"/>
          <w:highlight w:val="none"/>
          <w:lang w:val="en-US" w:eastAsia="zh-CN"/>
        </w:rPr>
        <w:t>100</w:t>
      </w:r>
      <w:r>
        <w:rPr>
          <w:rStyle w:val="19"/>
          <w:rFonts w:hint="eastAsia" w:ascii="仿宋" w:hAnsi="仿宋" w:eastAsia="仿宋" w:cstheme="minorBidi"/>
          <w:bCs/>
          <w:color w:val="auto"/>
          <w:sz w:val="32"/>
          <w:szCs w:val="32"/>
          <w:highlight w:val="none"/>
        </w:rPr>
        <w:t>%，决算数等于预算数。</w:t>
      </w:r>
    </w:p>
    <w:p w14:paraId="37E95CC2">
      <w:pPr>
        <w:numPr>
          <w:ilvl w:val="0"/>
          <w:numId w:val="3"/>
        </w:numPr>
        <w:spacing w:line="600" w:lineRule="exact"/>
        <w:ind w:left="0" w:leftChars="0" w:firstLine="400" w:firstLineChars="0"/>
        <w:rPr>
          <w:rStyle w:val="19"/>
          <w:rFonts w:hint="eastAsia" w:ascii="仿宋" w:hAnsi="仿宋" w:eastAsia="仿宋" w:cstheme="minorBidi"/>
          <w:bCs/>
          <w:color w:val="auto"/>
          <w:sz w:val="32"/>
          <w:szCs w:val="32"/>
          <w:highlight w:val="none"/>
        </w:rPr>
      </w:pPr>
      <w:r>
        <w:rPr>
          <w:rStyle w:val="19"/>
          <w:rFonts w:hint="eastAsia" w:ascii="仿宋" w:hAnsi="仿宋" w:eastAsia="仿宋" w:cstheme="minorBidi"/>
          <w:bCs/>
          <w:color w:val="auto"/>
          <w:sz w:val="32"/>
          <w:szCs w:val="32"/>
          <w:highlight w:val="none"/>
        </w:rPr>
        <w:t>教育支出（类）普通教育（款）小学教育（项）:支出决算为407.49万元，完成预算</w:t>
      </w:r>
      <w:r>
        <w:rPr>
          <w:rStyle w:val="19"/>
          <w:rFonts w:hint="eastAsia" w:ascii="仿宋" w:hAnsi="仿宋" w:eastAsia="仿宋" w:cstheme="minorBidi"/>
          <w:bCs/>
          <w:color w:val="auto"/>
          <w:sz w:val="32"/>
          <w:szCs w:val="32"/>
          <w:highlight w:val="none"/>
          <w:lang w:val="en-US" w:eastAsia="zh-CN"/>
        </w:rPr>
        <w:t>100</w:t>
      </w:r>
      <w:r>
        <w:rPr>
          <w:rStyle w:val="19"/>
          <w:rFonts w:hint="eastAsia" w:ascii="仿宋" w:hAnsi="仿宋" w:eastAsia="仿宋" w:cstheme="minorBidi"/>
          <w:bCs/>
          <w:color w:val="auto"/>
          <w:sz w:val="32"/>
          <w:szCs w:val="32"/>
          <w:highlight w:val="none"/>
        </w:rPr>
        <w:t>%，决算数等于预算数。</w:t>
      </w:r>
    </w:p>
    <w:p w14:paraId="483F09B9">
      <w:pPr>
        <w:numPr>
          <w:ilvl w:val="0"/>
          <w:numId w:val="3"/>
        </w:numPr>
        <w:spacing w:line="600" w:lineRule="exact"/>
        <w:ind w:left="0" w:leftChars="0" w:firstLine="400" w:firstLineChars="0"/>
        <w:rPr>
          <w:rStyle w:val="19"/>
          <w:rFonts w:hint="eastAsia" w:ascii="仿宋" w:hAnsi="仿宋" w:eastAsia="仿宋" w:cstheme="minorBidi"/>
          <w:bCs/>
          <w:color w:val="auto"/>
          <w:sz w:val="32"/>
          <w:szCs w:val="32"/>
          <w:highlight w:val="none"/>
        </w:rPr>
      </w:pPr>
      <w:r>
        <w:rPr>
          <w:rStyle w:val="19"/>
          <w:rFonts w:hint="eastAsia" w:ascii="仿宋" w:hAnsi="仿宋" w:eastAsia="仿宋" w:cstheme="minorBidi"/>
          <w:bCs/>
          <w:color w:val="auto"/>
          <w:sz w:val="32"/>
          <w:szCs w:val="32"/>
          <w:highlight w:val="none"/>
        </w:rPr>
        <w:t>社会保障和就业（类）行政事业单位养老支出（款）机关事业单位基本养老保险缴费支出（项）:支出决算为49.24万元，完成预算</w:t>
      </w:r>
      <w:r>
        <w:rPr>
          <w:rStyle w:val="19"/>
          <w:rFonts w:hint="eastAsia" w:ascii="仿宋" w:hAnsi="仿宋" w:eastAsia="仿宋" w:cstheme="minorBidi"/>
          <w:bCs/>
          <w:color w:val="auto"/>
          <w:sz w:val="32"/>
          <w:szCs w:val="32"/>
          <w:highlight w:val="none"/>
          <w:lang w:val="en-US" w:eastAsia="zh-CN"/>
        </w:rPr>
        <w:t>100</w:t>
      </w:r>
      <w:r>
        <w:rPr>
          <w:rStyle w:val="19"/>
          <w:rFonts w:hint="eastAsia" w:ascii="仿宋" w:hAnsi="仿宋" w:eastAsia="仿宋" w:cstheme="minorBidi"/>
          <w:bCs/>
          <w:color w:val="auto"/>
          <w:sz w:val="32"/>
          <w:szCs w:val="32"/>
          <w:highlight w:val="none"/>
        </w:rPr>
        <w:t>%，决算数等于预算数。</w:t>
      </w:r>
    </w:p>
    <w:p w14:paraId="4BDABB05">
      <w:pPr>
        <w:numPr>
          <w:ilvl w:val="0"/>
          <w:numId w:val="3"/>
        </w:numPr>
        <w:spacing w:line="600" w:lineRule="exact"/>
        <w:ind w:left="0" w:leftChars="0" w:firstLine="400" w:firstLineChars="0"/>
        <w:rPr>
          <w:rStyle w:val="19"/>
          <w:rFonts w:hint="eastAsia" w:ascii="仿宋" w:hAnsi="仿宋" w:eastAsia="仿宋" w:cstheme="minorBidi"/>
          <w:bCs/>
          <w:color w:val="auto"/>
          <w:sz w:val="32"/>
          <w:szCs w:val="32"/>
          <w:highlight w:val="none"/>
        </w:rPr>
      </w:pPr>
      <w:r>
        <w:rPr>
          <w:rStyle w:val="19"/>
          <w:rFonts w:hint="eastAsia" w:ascii="仿宋" w:hAnsi="仿宋" w:eastAsia="仿宋" w:cstheme="minorBidi"/>
          <w:bCs/>
          <w:color w:val="auto"/>
          <w:sz w:val="32"/>
          <w:szCs w:val="32"/>
          <w:highlight w:val="none"/>
        </w:rPr>
        <w:t>社会保障和就业支出（类）其他社会保障和就业支出（款）其他社会保障和就业支出（项）:支出决算为1.90万元，完成预算</w:t>
      </w:r>
      <w:r>
        <w:rPr>
          <w:rStyle w:val="19"/>
          <w:rFonts w:hint="eastAsia" w:ascii="仿宋" w:hAnsi="仿宋" w:eastAsia="仿宋" w:cstheme="minorBidi"/>
          <w:bCs/>
          <w:color w:val="auto"/>
          <w:sz w:val="32"/>
          <w:szCs w:val="32"/>
          <w:highlight w:val="none"/>
          <w:lang w:val="en-US" w:eastAsia="zh-CN"/>
        </w:rPr>
        <w:t>100</w:t>
      </w:r>
      <w:r>
        <w:rPr>
          <w:rStyle w:val="19"/>
          <w:rFonts w:hint="eastAsia" w:ascii="仿宋" w:hAnsi="仿宋" w:eastAsia="仿宋" w:cstheme="minorBidi"/>
          <w:bCs/>
          <w:color w:val="auto"/>
          <w:sz w:val="32"/>
          <w:szCs w:val="32"/>
          <w:highlight w:val="none"/>
        </w:rPr>
        <w:t>%，决算数等于预算数。</w:t>
      </w:r>
    </w:p>
    <w:p w14:paraId="7CCC8DE2">
      <w:pPr>
        <w:numPr>
          <w:ilvl w:val="0"/>
          <w:numId w:val="3"/>
        </w:numPr>
        <w:spacing w:line="600" w:lineRule="exact"/>
        <w:ind w:left="0" w:leftChars="0" w:firstLine="400" w:firstLineChars="0"/>
        <w:rPr>
          <w:rStyle w:val="19"/>
          <w:rFonts w:hint="eastAsia" w:ascii="仿宋" w:hAnsi="仿宋" w:eastAsia="仿宋" w:cstheme="minorBidi"/>
          <w:bCs/>
          <w:color w:val="auto"/>
          <w:sz w:val="32"/>
          <w:szCs w:val="32"/>
          <w:highlight w:val="none"/>
        </w:rPr>
      </w:pPr>
      <w:r>
        <w:rPr>
          <w:rStyle w:val="19"/>
          <w:rFonts w:hint="eastAsia" w:ascii="仿宋" w:hAnsi="仿宋" w:eastAsia="仿宋" w:cstheme="minorBidi"/>
          <w:bCs/>
          <w:color w:val="auto"/>
          <w:sz w:val="32"/>
          <w:szCs w:val="32"/>
          <w:highlight w:val="none"/>
        </w:rPr>
        <w:t>卫生健康支出（类）行政事业单位医疗（款）事业单位医疗（项）:支出决算为19.74万元，完成预算</w:t>
      </w:r>
      <w:r>
        <w:rPr>
          <w:rStyle w:val="19"/>
          <w:rFonts w:hint="eastAsia" w:ascii="仿宋" w:hAnsi="仿宋" w:eastAsia="仿宋" w:cstheme="minorBidi"/>
          <w:bCs/>
          <w:color w:val="auto"/>
          <w:sz w:val="32"/>
          <w:szCs w:val="32"/>
          <w:highlight w:val="none"/>
          <w:lang w:val="en-US" w:eastAsia="zh-CN"/>
        </w:rPr>
        <w:t>100</w:t>
      </w:r>
      <w:r>
        <w:rPr>
          <w:rStyle w:val="19"/>
          <w:rFonts w:hint="eastAsia" w:ascii="仿宋" w:hAnsi="仿宋" w:eastAsia="仿宋" w:cstheme="minorBidi"/>
          <w:bCs/>
          <w:color w:val="auto"/>
          <w:sz w:val="32"/>
          <w:szCs w:val="32"/>
          <w:highlight w:val="none"/>
        </w:rPr>
        <w:t>%，决算数等于预算数。</w:t>
      </w:r>
    </w:p>
    <w:p w14:paraId="43DD7692">
      <w:pPr>
        <w:numPr>
          <w:ilvl w:val="0"/>
          <w:numId w:val="3"/>
        </w:numPr>
        <w:spacing w:line="600" w:lineRule="exact"/>
        <w:ind w:left="0" w:leftChars="0" w:firstLine="400" w:firstLineChars="0"/>
        <w:rPr>
          <w:rStyle w:val="19"/>
          <w:rFonts w:hint="eastAsia" w:ascii="仿宋" w:hAnsi="仿宋" w:eastAsia="仿宋" w:cstheme="minorBidi"/>
          <w:bCs/>
          <w:color w:val="auto"/>
          <w:sz w:val="32"/>
          <w:szCs w:val="32"/>
          <w:highlight w:val="none"/>
        </w:rPr>
      </w:pPr>
      <w:r>
        <w:rPr>
          <w:rStyle w:val="19"/>
          <w:rFonts w:hint="eastAsia" w:ascii="仿宋" w:hAnsi="仿宋" w:eastAsia="仿宋" w:cstheme="minorBidi"/>
          <w:bCs/>
          <w:color w:val="auto"/>
          <w:sz w:val="32"/>
          <w:szCs w:val="32"/>
          <w:highlight w:val="none"/>
        </w:rPr>
        <w:t>卫生健康支出（类）行政事业单位医疗（款）其他行政事业单位医疗支出（项）:支出决算为1.73万元，完成预算</w:t>
      </w:r>
      <w:r>
        <w:rPr>
          <w:rStyle w:val="19"/>
          <w:rFonts w:hint="eastAsia" w:ascii="仿宋" w:hAnsi="仿宋" w:eastAsia="仿宋" w:cstheme="minorBidi"/>
          <w:bCs/>
          <w:color w:val="auto"/>
          <w:sz w:val="32"/>
          <w:szCs w:val="32"/>
          <w:highlight w:val="none"/>
          <w:lang w:val="en-US" w:eastAsia="zh-CN"/>
        </w:rPr>
        <w:t>100</w:t>
      </w:r>
      <w:r>
        <w:rPr>
          <w:rStyle w:val="19"/>
          <w:rFonts w:hint="eastAsia" w:ascii="仿宋" w:hAnsi="仿宋" w:eastAsia="仿宋" w:cstheme="minorBidi"/>
          <w:bCs/>
          <w:color w:val="auto"/>
          <w:sz w:val="32"/>
          <w:szCs w:val="32"/>
          <w:highlight w:val="none"/>
        </w:rPr>
        <w:t>%，决算数等于预算数。</w:t>
      </w:r>
    </w:p>
    <w:p w14:paraId="15AB4C1D">
      <w:pPr>
        <w:pStyle w:val="2"/>
        <w:numPr>
          <w:ilvl w:val="0"/>
          <w:numId w:val="3"/>
        </w:numPr>
        <w:ind w:left="0" w:leftChars="0" w:firstLine="400" w:firstLineChars="0"/>
        <w:rPr>
          <w:rFonts w:hint="eastAsia"/>
        </w:rPr>
      </w:pPr>
      <w:r>
        <w:rPr>
          <w:rStyle w:val="19"/>
          <w:rFonts w:hint="eastAsia" w:ascii="仿宋" w:hAnsi="仿宋" w:eastAsia="仿宋" w:cstheme="minorBidi"/>
          <w:bCs/>
          <w:color w:val="auto"/>
          <w:sz w:val="32"/>
          <w:szCs w:val="32"/>
          <w:highlight w:val="none"/>
        </w:rPr>
        <w:t>社会保障和就业（类）行政事业单位养老支出（款）事业单位离退休（项）:支出决算为28.21万元，完成预算</w:t>
      </w:r>
      <w:r>
        <w:rPr>
          <w:rStyle w:val="19"/>
          <w:rFonts w:hint="eastAsia" w:ascii="仿宋" w:hAnsi="仿宋" w:eastAsia="仿宋" w:cstheme="minorBidi"/>
          <w:bCs/>
          <w:color w:val="auto"/>
          <w:sz w:val="32"/>
          <w:szCs w:val="32"/>
          <w:highlight w:val="none"/>
          <w:lang w:val="en-US" w:eastAsia="zh-CN"/>
        </w:rPr>
        <w:t>100</w:t>
      </w:r>
      <w:r>
        <w:rPr>
          <w:rStyle w:val="19"/>
          <w:rFonts w:hint="eastAsia" w:ascii="仿宋" w:hAnsi="仿宋" w:eastAsia="仿宋" w:cstheme="minorBidi"/>
          <w:bCs/>
          <w:color w:val="auto"/>
          <w:sz w:val="32"/>
          <w:szCs w:val="32"/>
          <w:highlight w:val="none"/>
        </w:rPr>
        <w:t>%，决算数等于预算数。</w:t>
      </w:r>
    </w:p>
    <w:p w14:paraId="48030C1F">
      <w:pPr>
        <w:numPr>
          <w:ilvl w:val="0"/>
          <w:numId w:val="3"/>
        </w:numPr>
        <w:spacing w:line="600" w:lineRule="exact"/>
        <w:ind w:left="0" w:leftChars="0" w:firstLine="400" w:firstLineChars="0"/>
        <w:rPr>
          <w:rStyle w:val="19"/>
          <w:rFonts w:hint="eastAsia" w:ascii="仿宋" w:hAnsi="仿宋" w:eastAsia="仿宋" w:cstheme="minorBidi"/>
          <w:bCs/>
          <w:color w:val="auto"/>
          <w:sz w:val="32"/>
          <w:szCs w:val="32"/>
          <w:highlight w:val="none"/>
        </w:rPr>
      </w:pPr>
      <w:r>
        <w:rPr>
          <w:rStyle w:val="19"/>
          <w:rFonts w:hint="eastAsia" w:ascii="仿宋" w:hAnsi="仿宋" w:eastAsia="仿宋" w:cstheme="minorBidi"/>
          <w:bCs/>
          <w:color w:val="auto"/>
          <w:sz w:val="32"/>
          <w:szCs w:val="32"/>
          <w:highlight w:val="none"/>
        </w:rPr>
        <w:t>农林水支出（类）巩固脱贫衔接乡村振兴（款）社会发展（项）:支出决算为4.93万元，完成预算</w:t>
      </w:r>
      <w:r>
        <w:rPr>
          <w:rStyle w:val="19"/>
          <w:rFonts w:hint="eastAsia" w:ascii="仿宋" w:hAnsi="仿宋" w:eastAsia="仿宋" w:cstheme="minorBidi"/>
          <w:bCs/>
          <w:color w:val="auto"/>
          <w:sz w:val="32"/>
          <w:szCs w:val="32"/>
          <w:highlight w:val="none"/>
          <w:lang w:val="en-US" w:eastAsia="zh-CN"/>
        </w:rPr>
        <w:t>100</w:t>
      </w:r>
      <w:r>
        <w:rPr>
          <w:rStyle w:val="19"/>
          <w:rFonts w:hint="eastAsia" w:ascii="仿宋" w:hAnsi="仿宋" w:eastAsia="仿宋" w:cstheme="minorBidi"/>
          <w:bCs/>
          <w:color w:val="auto"/>
          <w:sz w:val="32"/>
          <w:szCs w:val="32"/>
          <w:highlight w:val="none"/>
        </w:rPr>
        <w:t>%，决算数等于预算数。</w:t>
      </w:r>
    </w:p>
    <w:p w14:paraId="38F94DE5">
      <w:pPr>
        <w:pStyle w:val="2"/>
        <w:numPr>
          <w:ilvl w:val="0"/>
          <w:numId w:val="3"/>
        </w:numPr>
        <w:ind w:left="0" w:leftChars="0" w:firstLine="400" w:firstLineChars="0"/>
      </w:pPr>
      <w:r>
        <w:rPr>
          <w:rStyle w:val="19"/>
          <w:rFonts w:hint="eastAsia" w:ascii="仿宋" w:hAnsi="仿宋" w:eastAsia="仿宋" w:cstheme="minorBidi"/>
          <w:bCs/>
          <w:color w:val="auto"/>
          <w:sz w:val="32"/>
          <w:szCs w:val="32"/>
          <w:highlight w:val="none"/>
        </w:rPr>
        <w:t>住房保障支出（类）住房改革支出（款）住房公积金（项）:支</w:t>
      </w:r>
      <w:bookmarkStart w:id="112" w:name="_GoBack"/>
      <w:bookmarkEnd w:id="112"/>
      <w:r>
        <w:rPr>
          <w:rStyle w:val="19"/>
          <w:rFonts w:hint="eastAsia" w:ascii="仿宋" w:hAnsi="仿宋" w:eastAsia="仿宋" w:cstheme="minorBidi"/>
          <w:bCs/>
          <w:color w:val="auto"/>
          <w:sz w:val="32"/>
          <w:szCs w:val="32"/>
          <w:highlight w:val="none"/>
        </w:rPr>
        <w:t>出决算为36.73万元，完成预算</w:t>
      </w:r>
      <w:r>
        <w:rPr>
          <w:rStyle w:val="19"/>
          <w:rFonts w:hint="eastAsia" w:ascii="仿宋" w:hAnsi="仿宋" w:eastAsia="仿宋" w:cstheme="minorBidi"/>
          <w:bCs/>
          <w:color w:val="auto"/>
          <w:sz w:val="32"/>
          <w:szCs w:val="32"/>
          <w:highlight w:val="none"/>
          <w:lang w:val="en-US" w:eastAsia="zh-CN"/>
        </w:rPr>
        <w:t>100</w:t>
      </w:r>
      <w:r>
        <w:rPr>
          <w:rStyle w:val="19"/>
          <w:rFonts w:hint="eastAsia" w:ascii="仿宋" w:hAnsi="仿宋" w:eastAsia="仿宋" w:cstheme="minorBidi"/>
          <w:bCs/>
          <w:color w:val="auto"/>
          <w:sz w:val="32"/>
          <w:szCs w:val="32"/>
          <w:highlight w:val="none"/>
        </w:rPr>
        <w:t>%，决算数等于预算数。</w:t>
      </w:r>
    </w:p>
    <w:p w14:paraId="33B7962B">
      <w:pPr>
        <w:tabs>
          <w:tab w:val="right" w:pos="8306"/>
        </w:tabs>
        <w:spacing w:line="600" w:lineRule="exact"/>
        <w:ind w:firstLine="640"/>
        <w:outlineLvl w:val="1"/>
        <w:rPr>
          <w:rStyle w:val="31"/>
        </w:rPr>
      </w:pPr>
      <w:bookmarkStart w:id="48" w:name="_Toc15377214"/>
      <w:bookmarkStart w:id="49" w:name="_Toc29661"/>
      <w:bookmarkStart w:id="50"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31"/>
          <w:rFonts w:hint="eastAsia" w:ascii="黑体" w:hAnsi="黑体" w:eastAsia="黑体"/>
          <w:b w:val="0"/>
        </w:rPr>
        <w:t>般公共预算财政拨款基本支出决算情况说明</w:t>
      </w:r>
      <w:bookmarkEnd w:id="48"/>
      <w:bookmarkEnd w:id="49"/>
      <w:bookmarkEnd w:id="50"/>
      <w:r>
        <w:rPr>
          <w:rStyle w:val="31"/>
          <w:rFonts w:ascii="黑体" w:hAnsi="黑体" w:eastAsia="黑体"/>
          <w:b w:val="0"/>
        </w:rPr>
        <w:tab/>
      </w:r>
    </w:p>
    <w:p w14:paraId="0921D2C4">
      <w:pPr>
        <w:spacing w:line="60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2023年度一般公共预算财政拨款基本支出547.06万元，其中：</w:t>
      </w:r>
    </w:p>
    <w:p w14:paraId="5FD6ADBD">
      <w:pPr>
        <w:spacing w:line="600" w:lineRule="exact"/>
        <w:ind w:firstLine="640" w:firstLineChars="200"/>
        <w:rPr>
          <w:rFonts w:hint="eastAsia" w:ascii="仿宋" w:hAnsi="仿宋" w:eastAsia="仿宋" w:cs="Times New Roman"/>
          <w:sz w:val="32"/>
          <w:szCs w:val="32"/>
          <w:lang w:val="zh-CN"/>
        </w:rPr>
      </w:pPr>
      <w:r>
        <w:rPr>
          <w:rFonts w:hint="eastAsia" w:ascii="仿宋" w:hAnsi="仿宋" w:eastAsia="仿宋" w:cs="Times New Roman"/>
          <w:sz w:val="32"/>
          <w:szCs w:val="32"/>
        </w:rPr>
        <w:t>人员经费512.61万元，</w:t>
      </w:r>
      <w:r>
        <w:rPr>
          <w:rFonts w:hint="eastAsia" w:ascii="仿宋" w:hAnsi="仿宋" w:eastAsia="仿宋" w:cs="Times New Roman"/>
          <w:sz w:val="32"/>
          <w:szCs w:val="32"/>
          <w:lang w:val="en-US"/>
        </w:rPr>
        <w:t>主要包括：基本工资、津贴补贴、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仿宋" w:hAnsi="仿宋" w:eastAsia="仿宋" w:cs="Times New Roman"/>
          <w:sz w:val="32"/>
          <w:szCs w:val="32"/>
          <w:lang w:val="zh-CN"/>
        </w:rPr>
        <w:t>。</w:t>
      </w:r>
    </w:p>
    <w:p w14:paraId="64C749DB">
      <w:pPr>
        <w:spacing w:line="60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公用经费34.45万元，</w:t>
      </w:r>
      <w:r>
        <w:rPr>
          <w:rFonts w:hint="eastAsia" w:ascii="仿宋" w:hAnsi="仿宋" w:eastAsia="仿宋" w:cs="Times New Roman"/>
          <w:sz w:val="32"/>
          <w:szCs w:val="32"/>
          <w:lang w:val="en-US"/>
        </w:rPr>
        <w:t>主要包括：办公费、印刷费、咨询费、水费、电费、邮电费、取</w:t>
      </w:r>
      <w:r>
        <w:rPr>
          <w:rFonts w:hint="eastAsia" w:ascii="仿宋" w:hAnsi="仿宋" w:eastAsia="仿宋" w:cs="Times New Roman"/>
          <w:sz w:val="32"/>
          <w:szCs w:val="32"/>
        </w:rPr>
        <w:t>暖费、差旅费、因公出国（境）费用、维修（护）费、会议费、培训费、公务接待费、劳务费、委托业务费、工会经费、福利费、其他交通费、其他商品和服务支出等。</w:t>
      </w:r>
    </w:p>
    <w:p w14:paraId="24A87C1A">
      <w:pPr>
        <w:spacing w:line="600" w:lineRule="exact"/>
        <w:ind w:firstLine="640"/>
        <w:outlineLvl w:val="1"/>
        <w:rPr>
          <w:rStyle w:val="31"/>
          <w:rFonts w:ascii="黑体" w:hAnsi="黑体" w:eastAsia="黑体"/>
          <w:b w:val="0"/>
        </w:rPr>
      </w:pPr>
      <w:bookmarkStart w:id="51" w:name="_Toc25198"/>
      <w:bookmarkStart w:id="52" w:name="_Toc15377215"/>
      <w:bookmarkStart w:id="53" w:name="_Toc15396609"/>
      <w:r>
        <w:rPr>
          <w:rFonts w:hint="eastAsia" w:ascii="黑体" w:eastAsia="黑体"/>
          <w:sz w:val="32"/>
          <w:szCs w:val="32"/>
        </w:rPr>
        <w:t>七、</w:t>
      </w:r>
      <w:r>
        <w:rPr>
          <w:rStyle w:val="31"/>
          <w:rFonts w:hint="eastAsia" w:ascii="黑体" w:hAnsi="黑体" w:eastAsia="黑体"/>
          <w:b w:val="0"/>
        </w:rPr>
        <w:t>财政拨款</w:t>
      </w:r>
      <w:r>
        <w:rPr>
          <w:rStyle w:val="31"/>
          <w:rFonts w:hint="eastAsia" w:ascii="黑体" w:hAnsi="黑体" w:eastAsia="黑体"/>
        </w:rPr>
        <w:t>“</w:t>
      </w:r>
      <w:r>
        <w:rPr>
          <w:rStyle w:val="31"/>
          <w:rFonts w:hint="eastAsia" w:ascii="黑体" w:hAnsi="黑体" w:eastAsia="黑体"/>
          <w:b w:val="0"/>
        </w:rPr>
        <w:t>三公”经费支出决算情况说明</w:t>
      </w:r>
      <w:bookmarkEnd w:id="51"/>
      <w:bookmarkEnd w:id="52"/>
      <w:bookmarkEnd w:id="53"/>
    </w:p>
    <w:p w14:paraId="69FC9F93">
      <w:pPr>
        <w:spacing w:line="600" w:lineRule="exact"/>
        <w:ind w:firstLine="640"/>
        <w:outlineLvl w:val="2"/>
        <w:rPr>
          <w:rFonts w:ascii="仿宋" w:hAnsi="仿宋" w:eastAsia="仿宋"/>
          <w:b/>
          <w:sz w:val="32"/>
          <w:szCs w:val="32"/>
        </w:rPr>
      </w:pPr>
      <w:bookmarkStart w:id="54" w:name="_Toc15377216"/>
      <w:r>
        <w:rPr>
          <w:rFonts w:hint="eastAsia" w:ascii="仿宋" w:hAnsi="仿宋" w:eastAsia="仿宋"/>
          <w:b/>
          <w:sz w:val="32"/>
          <w:szCs w:val="32"/>
        </w:rPr>
        <w:t>（一）“三公”经费财政拨款支出决算总体情况说明</w:t>
      </w:r>
      <w:bookmarkEnd w:id="54"/>
    </w:p>
    <w:p w14:paraId="1C0D8C00">
      <w:pPr>
        <w:spacing w:line="600" w:lineRule="exact"/>
        <w:ind w:firstLine="640"/>
        <w:rPr>
          <w:rFonts w:ascii="仿宋" w:hAnsi="仿宋" w:eastAsia="仿宋"/>
          <w:sz w:val="32"/>
          <w:szCs w:val="32"/>
        </w:rPr>
      </w:pPr>
      <w:r>
        <w:rPr>
          <w:rFonts w:hint="eastAsia" w:ascii="仿宋" w:hAnsi="仿宋" w:eastAsia="仿宋" w:cs="Times New Roman"/>
          <w:sz w:val="32"/>
          <w:szCs w:val="32"/>
        </w:rPr>
        <w:t>2023年度“三公”经费财政拨款支出决算为0.15万元，完成预算100%，较上年度增加</w:t>
      </w:r>
      <w:r>
        <w:rPr>
          <w:rFonts w:hint="eastAsia" w:ascii="仿宋" w:hAnsi="仿宋" w:eastAsia="仿宋" w:cs="Times New Roman"/>
          <w:sz w:val="32"/>
          <w:szCs w:val="32"/>
          <w:lang w:val="en-US" w:eastAsia="zh-CN"/>
        </w:rPr>
        <w:t>0.1</w:t>
      </w:r>
      <w:r>
        <w:rPr>
          <w:rFonts w:hint="eastAsia" w:ascii="仿宋" w:hAnsi="仿宋" w:eastAsia="仿宋" w:cs="Times New Roman"/>
          <w:sz w:val="32"/>
          <w:szCs w:val="32"/>
        </w:rPr>
        <w:t>万元，增长</w:t>
      </w:r>
      <w:r>
        <w:rPr>
          <w:rFonts w:hint="eastAsia" w:ascii="仿宋" w:hAnsi="仿宋" w:eastAsia="仿宋" w:cs="Times New Roman"/>
          <w:sz w:val="32"/>
          <w:szCs w:val="32"/>
          <w:lang w:val="en-US" w:eastAsia="zh-CN"/>
        </w:rPr>
        <w:t>200</w:t>
      </w:r>
      <w:r>
        <w:rPr>
          <w:rFonts w:hint="eastAsia" w:ascii="仿宋" w:hAnsi="仿宋" w:eastAsia="仿宋" w:cs="Times New Roman"/>
          <w:sz w:val="32"/>
          <w:szCs w:val="32"/>
        </w:rPr>
        <w:t>%。决算数与预算数持平。</w:t>
      </w:r>
    </w:p>
    <w:p w14:paraId="22138740">
      <w:pPr>
        <w:spacing w:line="600" w:lineRule="exact"/>
        <w:ind w:firstLine="640"/>
        <w:outlineLvl w:val="2"/>
        <w:rPr>
          <w:rFonts w:ascii="仿宋" w:hAnsi="仿宋" w:eastAsia="仿宋"/>
          <w:b/>
          <w:sz w:val="32"/>
          <w:szCs w:val="32"/>
        </w:rPr>
      </w:pPr>
      <w:bookmarkStart w:id="55" w:name="_Toc15377217"/>
      <w:r>
        <w:rPr>
          <w:rFonts w:hint="eastAsia" w:ascii="仿宋" w:hAnsi="仿宋" w:eastAsia="仿宋"/>
          <w:b/>
          <w:sz w:val="32"/>
          <w:szCs w:val="32"/>
        </w:rPr>
        <w:t>（二）“三公”经费财政拨款支出决算具体情况说明</w:t>
      </w:r>
      <w:bookmarkEnd w:id="55"/>
    </w:p>
    <w:p w14:paraId="42409526">
      <w:pPr>
        <w:spacing w:line="600" w:lineRule="exact"/>
        <w:ind w:firstLine="640"/>
        <w:rPr>
          <w:rFonts w:hint="eastAsia" w:ascii="仿宋" w:hAnsi="仿宋" w:eastAsia="仿宋" w:cs="Times New Roman"/>
          <w:sz w:val="32"/>
          <w:szCs w:val="32"/>
        </w:rPr>
      </w:pPr>
      <w:r>
        <w:rPr>
          <w:rFonts w:hint="eastAsia" w:ascii="仿宋" w:hAnsi="仿宋" w:eastAsia="仿宋" w:cs="Times New Roman"/>
          <w:sz w:val="32"/>
          <w:szCs w:val="32"/>
        </w:rPr>
        <w:t>2023年度“三公”经费财政拨款支出决算中，因公出国（境）费支出决算0万元，占0%；公务用车购置及运行维护费支出决算0万元，占0%；公务接待费支出决算0.15万元，占100%。具体情况如下：</w:t>
      </w:r>
    </w:p>
    <w:p w14:paraId="5EB1BA1C">
      <w:pPr>
        <w:spacing w:line="600" w:lineRule="exact"/>
        <w:ind w:firstLine="640"/>
        <w:rPr>
          <w:rFonts w:hint="eastAsia" w:ascii="仿宋" w:hAnsi="仿宋" w:eastAsia="仿宋"/>
          <w:sz w:val="32"/>
          <w:szCs w:val="32"/>
        </w:rPr>
      </w:pPr>
      <w:r>
        <w:rPr>
          <w:rFonts w:hint="eastAsia" w:ascii="仿宋" w:hAnsi="仿宋" w:eastAsia="仿宋"/>
          <w:sz w:val="32"/>
          <w:szCs w:val="32"/>
        </w:rPr>
        <w:t>（图7：“三公”经费财政拨款支出结构）</w:t>
      </w:r>
    </w:p>
    <w:p w14:paraId="1970D67C">
      <w:pPr>
        <w:pStyle w:val="2"/>
      </w:pPr>
      <w:r>
        <w:drawing>
          <wp:anchor distT="0" distB="0" distL="114300" distR="114300" simplePos="0" relativeHeight="251663360" behindDoc="0" locked="0" layoutInCell="1" allowOverlap="1">
            <wp:simplePos x="0" y="0"/>
            <wp:positionH relativeFrom="column">
              <wp:posOffset>563245</wp:posOffset>
            </wp:positionH>
            <wp:positionV relativeFrom="paragraph">
              <wp:posOffset>329565</wp:posOffset>
            </wp:positionV>
            <wp:extent cx="4270375" cy="2845435"/>
            <wp:effectExtent l="4445" t="4445" r="7620" b="15240"/>
            <wp:wrapTopAndBottom/>
            <wp:docPr id="4" name="图表 3" descr="7b0a202020202263686172745265734964223a20223230343735383332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627749EB">
      <w:pPr>
        <w:spacing w:line="600" w:lineRule="exact"/>
        <w:ind w:firstLine="640"/>
        <w:rPr>
          <w:rFonts w:ascii="仿宋_GB2312" w:eastAsia="仿宋_GB2312"/>
          <w:b/>
          <w:sz w:val="32"/>
          <w:szCs w:val="32"/>
        </w:rPr>
      </w:pPr>
      <w:bookmarkStart w:id="56" w:name="_Toc15377218"/>
      <w:bookmarkStart w:id="57" w:name="_Toc15396610"/>
      <w:r>
        <w:rPr>
          <w:rFonts w:ascii="仿宋_GB2312" w:eastAsia="仿宋_GB2312"/>
          <w:b/>
          <w:sz w:val="32"/>
          <w:szCs w:val="32"/>
        </w:rPr>
        <w:t>1.</w:t>
      </w:r>
      <w:r>
        <w:rPr>
          <w:rFonts w:hint="eastAsia" w:ascii="仿宋_GB2312" w:eastAsia="仿宋_GB2312"/>
          <w:b/>
          <w:sz w:val="32"/>
          <w:szCs w:val="32"/>
        </w:rPr>
        <w:t>因公出国（境）经费支出</w:t>
      </w:r>
      <w:r>
        <w:rPr>
          <w:rFonts w:ascii="仿宋" w:hAnsi="仿宋" w:eastAsia="仿宋"/>
          <w:b/>
          <w:sz w:val="32"/>
          <w:szCs w:val="32"/>
        </w:rPr>
        <w:t>0</w:t>
      </w:r>
      <w:r>
        <w:rPr>
          <w:rFonts w:hint="eastAsia" w:ascii="仿宋_GB2312" w:eastAsia="仿宋_GB2312"/>
          <w:sz w:val="32"/>
          <w:szCs w:val="32"/>
        </w:rPr>
        <w:t>万元，</w:t>
      </w:r>
      <w:r>
        <w:rPr>
          <w:rFonts w:hint="eastAsia" w:ascii="仿宋" w:hAnsi="仿宋" w:eastAsia="仿宋" w:cs="Times New Roman"/>
          <w:sz w:val="32"/>
          <w:szCs w:val="32"/>
        </w:rPr>
        <w:t>完成预算0%。全年安排因公出国（境）团组0次，出国（境）0人。</w:t>
      </w:r>
    </w:p>
    <w:p w14:paraId="13308D91">
      <w:pPr>
        <w:spacing w:line="600" w:lineRule="exact"/>
        <w:ind w:firstLine="640"/>
        <w:rPr>
          <w:rFonts w:hint="eastAsia" w:ascii="仿宋" w:hAnsi="仿宋" w:eastAsia="仿宋" w:cs="Times New Roman"/>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ascii="仿宋" w:hAnsi="仿宋" w:eastAsia="仿宋"/>
          <w:b/>
          <w:sz w:val="32"/>
          <w:szCs w:val="32"/>
        </w:rPr>
        <w:t>0</w:t>
      </w:r>
      <w:r>
        <w:rPr>
          <w:rFonts w:hint="eastAsia" w:ascii="仿宋_GB2312" w:eastAsia="仿宋_GB2312"/>
          <w:sz w:val="32"/>
          <w:szCs w:val="32"/>
        </w:rPr>
        <w:t>万元，</w:t>
      </w:r>
      <w:r>
        <w:rPr>
          <w:rFonts w:hint="eastAsia" w:ascii="仿宋" w:hAnsi="仿宋" w:eastAsia="仿宋" w:cs="Times New Roman"/>
          <w:sz w:val="32"/>
          <w:szCs w:val="32"/>
        </w:rPr>
        <w:t>完成预算0%。公务用车购置及运行维护费支出决算比2022年度</w:t>
      </w:r>
      <w:r>
        <w:rPr>
          <w:rFonts w:hint="eastAsia" w:ascii="仿宋" w:hAnsi="仿宋" w:eastAsia="仿宋" w:cs="Times New Roman"/>
          <w:sz w:val="32"/>
          <w:szCs w:val="32"/>
          <w:lang w:val="en-US" w:eastAsia="zh-CN"/>
        </w:rPr>
        <w:t>持平，2023年度未产生该项费用。</w:t>
      </w:r>
    </w:p>
    <w:p w14:paraId="00F0C71F">
      <w:pPr>
        <w:spacing w:line="600" w:lineRule="exact"/>
        <w:ind w:firstLine="640" w:firstLineChars="200"/>
        <w:rPr>
          <w:rFonts w:hint="eastAsia" w:ascii="仿宋" w:hAnsi="仿宋" w:eastAsia="仿宋" w:cs="Times New Roman"/>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ascii="仿宋" w:hAnsi="仿宋" w:eastAsia="仿宋"/>
          <w:b/>
          <w:sz w:val="32"/>
          <w:szCs w:val="32"/>
        </w:rPr>
        <w:t>0</w:t>
      </w:r>
      <w:r>
        <w:rPr>
          <w:rFonts w:hint="eastAsia" w:ascii="仿宋_GB2312" w:eastAsia="仿宋_GB2312"/>
          <w:sz w:val="32"/>
          <w:szCs w:val="32"/>
        </w:rPr>
        <w:t>万元。</w:t>
      </w:r>
      <w:r>
        <w:rPr>
          <w:rFonts w:hint="eastAsia" w:ascii="仿宋" w:hAnsi="仿宋" w:eastAsia="仿宋" w:cs="Times New Roman"/>
          <w:sz w:val="32"/>
          <w:szCs w:val="32"/>
        </w:rPr>
        <w:t>全年按规定更新购置公务用车</w:t>
      </w:r>
      <w:r>
        <w:rPr>
          <w:rFonts w:hint="eastAsia" w:ascii="仿宋" w:hAnsi="仿宋" w:eastAsia="仿宋" w:cs="Times New Roman"/>
          <w:sz w:val="32"/>
          <w:szCs w:val="32"/>
          <w:lang w:val="en-US" w:eastAsia="zh-CN"/>
        </w:rPr>
        <w:t>0</w:t>
      </w:r>
      <w:r>
        <w:rPr>
          <w:rFonts w:hint="eastAsia" w:ascii="仿宋" w:hAnsi="仿宋" w:eastAsia="仿宋" w:cs="Times New Roman"/>
          <w:sz w:val="32"/>
          <w:szCs w:val="32"/>
        </w:rPr>
        <w:t>辆，其中：轿车</w:t>
      </w:r>
      <w:r>
        <w:rPr>
          <w:rFonts w:hint="eastAsia" w:ascii="仿宋" w:hAnsi="仿宋" w:eastAsia="仿宋" w:cs="Times New Roman"/>
          <w:sz w:val="32"/>
          <w:szCs w:val="32"/>
          <w:lang w:val="en-US" w:eastAsia="zh-CN"/>
        </w:rPr>
        <w:t>0</w:t>
      </w:r>
      <w:r>
        <w:rPr>
          <w:rFonts w:hint="eastAsia" w:ascii="仿宋" w:hAnsi="仿宋" w:eastAsia="仿宋" w:cs="Times New Roman"/>
          <w:sz w:val="32"/>
          <w:szCs w:val="32"/>
        </w:rPr>
        <w:t>辆、金额</w:t>
      </w:r>
      <w:r>
        <w:rPr>
          <w:rFonts w:hint="eastAsia" w:ascii="仿宋" w:hAnsi="仿宋" w:eastAsia="仿宋" w:cs="Times New Roman"/>
          <w:sz w:val="32"/>
          <w:szCs w:val="32"/>
          <w:lang w:val="en-US" w:eastAsia="zh-CN"/>
        </w:rPr>
        <w:t>0</w:t>
      </w:r>
      <w:r>
        <w:rPr>
          <w:rFonts w:hint="eastAsia" w:ascii="仿宋" w:hAnsi="仿宋" w:eastAsia="仿宋" w:cs="Times New Roman"/>
          <w:sz w:val="32"/>
          <w:szCs w:val="32"/>
        </w:rPr>
        <w:t>万元，越野车</w:t>
      </w:r>
      <w:r>
        <w:rPr>
          <w:rFonts w:hint="eastAsia" w:ascii="仿宋" w:hAnsi="仿宋" w:eastAsia="仿宋" w:cs="Times New Roman"/>
          <w:sz w:val="32"/>
          <w:szCs w:val="32"/>
          <w:lang w:val="en-US" w:eastAsia="zh-CN"/>
        </w:rPr>
        <w:t>0</w:t>
      </w:r>
      <w:r>
        <w:rPr>
          <w:rFonts w:hint="eastAsia" w:ascii="仿宋" w:hAnsi="仿宋" w:eastAsia="仿宋" w:cs="Times New Roman"/>
          <w:sz w:val="32"/>
          <w:szCs w:val="32"/>
        </w:rPr>
        <w:t>辆、金额</w:t>
      </w:r>
      <w:r>
        <w:rPr>
          <w:rFonts w:hint="eastAsia" w:ascii="仿宋" w:hAnsi="仿宋" w:eastAsia="仿宋" w:cs="Times New Roman"/>
          <w:sz w:val="32"/>
          <w:szCs w:val="32"/>
          <w:lang w:val="en-US" w:eastAsia="zh-CN"/>
        </w:rPr>
        <w:t>0</w:t>
      </w:r>
      <w:r>
        <w:rPr>
          <w:rFonts w:hint="eastAsia" w:ascii="仿宋" w:hAnsi="仿宋" w:eastAsia="仿宋" w:cs="Times New Roman"/>
          <w:sz w:val="32"/>
          <w:szCs w:val="32"/>
        </w:rPr>
        <w:t>万元，载客汽车</w:t>
      </w:r>
      <w:r>
        <w:rPr>
          <w:rFonts w:hint="eastAsia" w:ascii="仿宋" w:hAnsi="仿宋" w:eastAsia="仿宋" w:cs="Times New Roman"/>
          <w:sz w:val="32"/>
          <w:szCs w:val="32"/>
          <w:lang w:val="en-US" w:eastAsia="zh-CN"/>
        </w:rPr>
        <w:t>0</w:t>
      </w:r>
      <w:r>
        <w:rPr>
          <w:rFonts w:hint="eastAsia" w:ascii="仿宋" w:hAnsi="仿宋" w:eastAsia="仿宋" w:cs="Times New Roman"/>
          <w:sz w:val="32"/>
          <w:szCs w:val="32"/>
        </w:rPr>
        <w:t>辆、金额</w:t>
      </w:r>
      <w:r>
        <w:rPr>
          <w:rFonts w:hint="eastAsia" w:ascii="仿宋" w:hAnsi="仿宋" w:eastAsia="仿宋" w:cs="Times New Roman"/>
          <w:sz w:val="32"/>
          <w:szCs w:val="32"/>
          <w:lang w:val="en-US" w:eastAsia="zh-CN"/>
        </w:rPr>
        <w:t>0</w:t>
      </w:r>
      <w:r>
        <w:rPr>
          <w:rFonts w:hint="eastAsia" w:ascii="仿宋" w:hAnsi="仿宋" w:eastAsia="仿宋" w:cs="Times New Roman"/>
          <w:sz w:val="32"/>
          <w:szCs w:val="32"/>
        </w:rPr>
        <w:t>万元。截至2023年12月31日，单位共有公务用车</w:t>
      </w:r>
      <w:r>
        <w:rPr>
          <w:rFonts w:hint="eastAsia" w:ascii="仿宋" w:hAnsi="仿宋" w:eastAsia="仿宋" w:cs="Times New Roman"/>
          <w:sz w:val="32"/>
          <w:szCs w:val="32"/>
          <w:lang w:val="en-US" w:eastAsia="zh-CN"/>
        </w:rPr>
        <w:t>0</w:t>
      </w:r>
      <w:r>
        <w:rPr>
          <w:rFonts w:hint="eastAsia" w:ascii="仿宋" w:hAnsi="仿宋" w:eastAsia="仿宋" w:cs="Times New Roman"/>
          <w:sz w:val="32"/>
          <w:szCs w:val="32"/>
        </w:rPr>
        <w:t>辆，其中：轿车</w:t>
      </w:r>
      <w:r>
        <w:rPr>
          <w:rFonts w:hint="eastAsia" w:ascii="仿宋" w:hAnsi="仿宋" w:eastAsia="仿宋" w:cs="Times New Roman"/>
          <w:sz w:val="32"/>
          <w:szCs w:val="32"/>
          <w:lang w:val="en-US" w:eastAsia="zh-CN"/>
        </w:rPr>
        <w:t>0</w:t>
      </w:r>
      <w:r>
        <w:rPr>
          <w:rFonts w:hint="eastAsia" w:ascii="仿宋" w:hAnsi="仿宋" w:eastAsia="仿宋" w:cs="Times New Roman"/>
          <w:sz w:val="32"/>
          <w:szCs w:val="32"/>
        </w:rPr>
        <w:t>辆、越野车</w:t>
      </w:r>
      <w:r>
        <w:rPr>
          <w:rFonts w:hint="eastAsia" w:ascii="仿宋" w:hAnsi="仿宋" w:eastAsia="仿宋" w:cs="Times New Roman"/>
          <w:sz w:val="32"/>
          <w:szCs w:val="32"/>
          <w:lang w:val="en-US" w:eastAsia="zh-CN"/>
        </w:rPr>
        <w:t>0</w:t>
      </w:r>
      <w:r>
        <w:rPr>
          <w:rFonts w:hint="eastAsia" w:ascii="仿宋" w:hAnsi="仿宋" w:eastAsia="仿宋" w:cs="Times New Roman"/>
          <w:sz w:val="32"/>
          <w:szCs w:val="32"/>
        </w:rPr>
        <w:t>辆、载客汽车</w:t>
      </w:r>
      <w:r>
        <w:rPr>
          <w:rFonts w:hint="eastAsia" w:ascii="仿宋" w:hAnsi="仿宋" w:eastAsia="仿宋" w:cs="Times New Roman"/>
          <w:sz w:val="32"/>
          <w:szCs w:val="32"/>
          <w:lang w:val="en-US" w:eastAsia="zh-CN"/>
        </w:rPr>
        <w:t>0</w:t>
      </w:r>
      <w:r>
        <w:rPr>
          <w:rFonts w:hint="eastAsia" w:ascii="仿宋" w:hAnsi="仿宋" w:eastAsia="仿宋" w:cs="Times New Roman"/>
          <w:sz w:val="32"/>
          <w:szCs w:val="32"/>
        </w:rPr>
        <w:t>辆。</w:t>
      </w:r>
    </w:p>
    <w:p w14:paraId="42234AEC">
      <w:pPr>
        <w:spacing w:line="600" w:lineRule="exact"/>
        <w:ind w:firstLine="640"/>
        <w:rPr>
          <w:rFonts w:hint="eastAsia" w:ascii="仿宋_GB2312" w:eastAsia="仿宋_GB2312"/>
          <w:sz w:val="32"/>
          <w:szCs w:val="32"/>
        </w:rPr>
      </w:pPr>
      <w:r>
        <w:rPr>
          <w:rFonts w:hint="eastAsia" w:ascii="仿宋_GB2312" w:eastAsia="仿宋_GB2312"/>
          <w:b/>
          <w:sz w:val="32"/>
          <w:szCs w:val="32"/>
        </w:rPr>
        <w:t>公务用车运行维护费支出</w:t>
      </w:r>
      <w:r>
        <w:rPr>
          <w:rFonts w:ascii="仿宋" w:hAnsi="仿宋" w:eastAsia="仿宋"/>
          <w:b/>
          <w:sz w:val="32"/>
          <w:szCs w:val="32"/>
        </w:rPr>
        <w:t>0</w:t>
      </w:r>
      <w:r>
        <w:rPr>
          <w:rFonts w:hint="eastAsia" w:ascii="仿宋_GB2312" w:eastAsia="仿宋_GB2312"/>
          <w:sz w:val="32"/>
          <w:szCs w:val="32"/>
        </w:rPr>
        <w:t>万元。</w:t>
      </w:r>
    </w:p>
    <w:p w14:paraId="59104854">
      <w:pPr>
        <w:spacing w:line="600" w:lineRule="exact"/>
        <w:ind w:firstLine="640"/>
        <w:rPr>
          <w:rFonts w:hint="eastAsia" w:ascii="仿宋" w:hAnsi="仿宋" w:eastAsia="仿宋" w:cs="Times New Roman"/>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ascii="仿宋" w:hAnsi="仿宋" w:eastAsia="仿宋"/>
          <w:b/>
          <w:sz w:val="32"/>
          <w:szCs w:val="32"/>
        </w:rPr>
        <w:t>0.15</w:t>
      </w:r>
      <w:r>
        <w:rPr>
          <w:rFonts w:hint="eastAsia" w:ascii="仿宋_GB2312" w:eastAsia="仿宋_GB2312"/>
          <w:sz w:val="32"/>
          <w:szCs w:val="32"/>
        </w:rPr>
        <w:t>万元，</w:t>
      </w:r>
      <w:r>
        <w:rPr>
          <w:rFonts w:hint="eastAsia" w:ascii="仿宋" w:hAnsi="仿宋" w:eastAsia="仿宋" w:cs="Times New Roman"/>
          <w:sz w:val="32"/>
          <w:szCs w:val="32"/>
        </w:rPr>
        <w:t>完成预算100%。公务接待费支出决算比2022年度增加</w:t>
      </w:r>
      <w:r>
        <w:rPr>
          <w:rFonts w:hint="eastAsia" w:ascii="仿宋" w:hAnsi="仿宋" w:eastAsia="仿宋" w:cs="Times New Roman"/>
          <w:sz w:val="32"/>
          <w:szCs w:val="32"/>
          <w:lang w:val="en-US" w:eastAsia="zh-CN"/>
        </w:rPr>
        <w:t>0.1</w:t>
      </w:r>
      <w:r>
        <w:rPr>
          <w:rFonts w:hint="eastAsia" w:ascii="仿宋" w:hAnsi="仿宋" w:eastAsia="仿宋" w:cs="Times New Roman"/>
          <w:sz w:val="32"/>
          <w:szCs w:val="32"/>
        </w:rPr>
        <w:t>万元，增长</w:t>
      </w:r>
      <w:r>
        <w:rPr>
          <w:rFonts w:hint="eastAsia" w:ascii="仿宋" w:hAnsi="仿宋" w:eastAsia="仿宋" w:cs="Times New Roman"/>
          <w:sz w:val="32"/>
          <w:szCs w:val="32"/>
          <w:lang w:val="en-US" w:eastAsia="zh-CN"/>
        </w:rPr>
        <w:t>200</w:t>
      </w:r>
      <w:r>
        <w:rPr>
          <w:rFonts w:hint="eastAsia" w:ascii="仿宋" w:hAnsi="仿宋" w:eastAsia="仿宋" w:cs="Times New Roman"/>
          <w:sz w:val="32"/>
          <w:szCs w:val="32"/>
        </w:rPr>
        <w:t>%。主要原因是</w:t>
      </w:r>
      <w:r>
        <w:rPr>
          <w:rFonts w:hint="eastAsia" w:ascii="仿宋" w:hAnsi="仿宋" w:eastAsia="仿宋" w:cs="Times New Roman"/>
          <w:sz w:val="32"/>
          <w:szCs w:val="32"/>
          <w:lang w:val="en-US" w:eastAsia="zh-CN"/>
        </w:rPr>
        <w:t>2023年度公务接待场次增加，费用增加</w:t>
      </w:r>
      <w:r>
        <w:rPr>
          <w:rFonts w:hint="eastAsia" w:ascii="仿宋" w:hAnsi="仿宋" w:eastAsia="仿宋" w:cs="Times New Roman"/>
          <w:sz w:val="32"/>
          <w:szCs w:val="32"/>
        </w:rPr>
        <w:t>。其中：</w:t>
      </w:r>
    </w:p>
    <w:p w14:paraId="0385A12D">
      <w:pPr>
        <w:spacing w:line="600" w:lineRule="exact"/>
        <w:ind w:firstLine="640"/>
        <w:rPr>
          <w:rFonts w:hint="eastAsia" w:ascii="仿宋" w:hAnsi="仿宋" w:eastAsia="仿宋" w:cs="Times New Roman"/>
          <w:sz w:val="32"/>
          <w:szCs w:val="32"/>
        </w:rPr>
      </w:pPr>
      <w:r>
        <w:rPr>
          <w:rFonts w:hint="eastAsia" w:ascii="仿宋" w:hAnsi="仿宋" w:eastAsia="仿宋" w:cs="Times New Roman"/>
          <w:sz w:val="32"/>
          <w:szCs w:val="32"/>
        </w:rPr>
        <w:t>国内公务接待支出0.15万元，主要用于</w:t>
      </w:r>
      <w:r>
        <w:rPr>
          <w:rFonts w:hint="eastAsia" w:ascii="仿宋" w:hAnsi="仿宋" w:eastAsia="仿宋" w:cs="Times New Roman"/>
          <w:sz w:val="32"/>
          <w:szCs w:val="32"/>
          <w:lang w:val="en-US" w:eastAsia="zh-CN"/>
        </w:rPr>
        <w:t>接待教体相关活动的</w:t>
      </w:r>
      <w:r>
        <w:rPr>
          <w:rFonts w:hint="eastAsia" w:ascii="仿宋" w:hAnsi="仿宋" w:eastAsia="仿宋" w:cs="Times New Roman"/>
          <w:sz w:val="32"/>
          <w:szCs w:val="32"/>
        </w:rPr>
        <w:t>交通费、住宿费、用餐费等。国内公务接待</w:t>
      </w:r>
      <w:r>
        <w:rPr>
          <w:rFonts w:hint="eastAsia" w:ascii="仿宋" w:hAnsi="仿宋" w:eastAsia="仿宋" w:cs="Times New Roman"/>
          <w:sz w:val="32"/>
          <w:szCs w:val="32"/>
          <w:lang w:val="en-US" w:eastAsia="zh-CN"/>
        </w:rPr>
        <w:t>3</w:t>
      </w:r>
      <w:r>
        <w:rPr>
          <w:rFonts w:hint="eastAsia" w:ascii="仿宋" w:hAnsi="仿宋" w:eastAsia="仿宋" w:cs="Times New Roman"/>
          <w:sz w:val="32"/>
          <w:szCs w:val="32"/>
        </w:rPr>
        <w:t>批次，</w:t>
      </w:r>
      <w:r>
        <w:rPr>
          <w:rFonts w:hint="eastAsia" w:ascii="仿宋" w:hAnsi="仿宋" w:eastAsia="仿宋" w:cs="Times New Roman"/>
          <w:sz w:val="32"/>
          <w:szCs w:val="32"/>
          <w:lang w:val="en-US" w:eastAsia="zh-CN"/>
        </w:rPr>
        <w:t>30</w:t>
      </w:r>
      <w:r>
        <w:rPr>
          <w:rFonts w:hint="eastAsia" w:ascii="仿宋" w:hAnsi="仿宋" w:eastAsia="仿宋" w:cs="Times New Roman"/>
          <w:sz w:val="32"/>
          <w:szCs w:val="32"/>
        </w:rPr>
        <w:t>人次（不包括陪同人员），共计支出</w:t>
      </w:r>
      <w:r>
        <w:rPr>
          <w:rFonts w:hint="eastAsia" w:ascii="仿宋" w:hAnsi="仿宋" w:eastAsia="仿宋" w:cs="Times New Roman"/>
          <w:sz w:val="32"/>
          <w:szCs w:val="32"/>
          <w:lang w:val="en-US" w:eastAsia="zh-CN"/>
        </w:rPr>
        <w:t>0.15</w:t>
      </w:r>
      <w:r>
        <w:rPr>
          <w:rFonts w:hint="eastAsia" w:ascii="仿宋" w:hAnsi="仿宋" w:eastAsia="仿宋" w:cs="Times New Roman"/>
          <w:sz w:val="32"/>
          <w:szCs w:val="32"/>
        </w:rPr>
        <w:t>万元，</w:t>
      </w:r>
      <w:r>
        <w:rPr>
          <w:rFonts w:hint="eastAsia" w:ascii="仿宋" w:hAnsi="仿宋" w:eastAsia="仿宋" w:cs="Times New Roman"/>
          <w:sz w:val="32"/>
          <w:szCs w:val="32"/>
          <w:lang w:val="en-US" w:eastAsia="zh-CN"/>
        </w:rPr>
        <w:t>具体用于接待教体相关公务工作3次，共计0.15万元。</w:t>
      </w:r>
    </w:p>
    <w:p w14:paraId="149A102B">
      <w:pPr>
        <w:spacing w:line="600" w:lineRule="exact"/>
        <w:ind w:firstLine="643" w:firstLineChars="200"/>
        <w:rPr>
          <w:rFonts w:ascii="仿宋_GB2312" w:eastAsia="仿宋_GB2312"/>
          <w:sz w:val="32"/>
          <w:szCs w:val="32"/>
        </w:rPr>
      </w:pPr>
      <w:r>
        <w:rPr>
          <w:rFonts w:hint="eastAsia" w:ascii="仿宋" w:hAnsi="仿宋" w:eastAsia="仿宋"/>
          <w:b/>
          <w:sz w:val="32"/>
          <w:szCs w:val="32"/>
        </w:rPr>
        <w:t>外事接待支出</w:t>
      </w:r>
      <w:r>
        <w:rPr>
          <w:rFonts w:ascii="仿宋" w:hAnsi="仿宋" w:eastAsia="仿宋"/>
          <w:b/>
          <w:sz w:val="32"/>
          <w:szCs w:val="32"/>
        </w:rPr>
        <w:t>0</w:t>
      </w:r>
      <w:r>
        <w:rPr>
          <w:rFonts w:hint="eastAsia" w:ascii="仿宋_GB2312" w:eastAsia="仿宋_GB2312"/>
          <w:sz w:val="32"/>
          <w:szCs w:val="32"/>
        </w:rPr>
        <w:t>万元。</w:t>
      </w:r>
    </w:p>
    <w:p w14:paraId="1FEE28E5">
      <w:pPr>
        <w:spacing w:line="600" w:lineRule="exact"/>
        <w:ind w:firstLine="640"/>
        <w:outlineLvl w:val="1"/>
        <w:rPr>
          <w:rStyle w:val="31"/>
          <w:rFonts w:ascii="黑体" w:hAnsi="黑体" w:eastAsia="黑体"/>
        </w:rPr>
      </w:pPr>
      <w:bookmarkStart w:id="58" w:name="_Toc10474"/>
      <w:r>
        <w:rPr>
          <w:rFonts w:hint="eastAsia" w:ascii="黑体" w:eastAsia="黑体"/>
          <w:sz w:val="32"/>
          <w:szCs w:val="32"/>
        </w:rPr>
        <w:t>八、</w:t>
      </w:r>
      <w:r>
        <w:rPr>
          <w:rStyle w:val="31"/>
          <w:rFonts w:hint="eastAsia" w:ascii="黑体" w:hAnsi="黑体" w:eastAsia="黑体"/>
          <w:b w:val="0"/>
        </w:rPr>
        <w:t>政府性基金预算支出决算情况说明</w:t>
      </w:r>
      <w:bookmarkEnd w:id="56"/>
      <w:bookmarkEnd w:id="57"/>
      <w:bookmarkEnd w:id="58"/>
    </w:p>
    <w:p w14:paraId="7332479E">
      <w:pPr>
        <w:spacing w:line="600" w:lineRule="exact"/>
        <w:ind w:firstLine="640"/>
        <w:rPr>
          <w:rFonts w:ascii="仿宋_GB2312" w:eastAsia="仿宋_GB2312"/>
          <w:sz w:val="32"/>
          <w:szCs w:val="32"/>
        </w:rPr>
      </w:pPr>
      <w:r>
        <w:rPr>
          <w:rFonts w:hint="eastAsia" w:ascii="仿宋" w:hAnsi="仿宋" w:eastAsia="仿宋" w:cs="Times New Roman"/>
          <w:sz w:val="32"/>
          <w:szCs w:val="32"/>
        </w:rPr>
        <w:t>2023年度政府性基金预算财政拨款支出0万元</w:t>
      </w:r>
      <w:r>
        <w:rPr>
          <w:rFonts w:hint="eastAsia" w:ascii="仿宋_GB2312" w:eastAsia="仿宋_GB2312"/>
          <w:sz w:val="32"/>
          <w:szCs w:val="32"/>
        </w:rPr>
        <w:t>。</w:t>
      </w:r>
    </w:p>
    <w:p w14:paraId="68BD98B1">
      <w:pPr>
        <w:numPr>
          <w:ilvl w:val="0"/>
          <w:numId w:val="4"/>
        </w:numPr>
        <w:spacing w:line="600" w:lineRule="exact"/>
        <w:ind w:firstLine="640"/>
        <w:outlineLvl w:val="1"/>
        <w:rPr>
          <w:rStyle w:val="31"/>
          <w:rFonts w:ascii="黑体" w:hAnsi="黑体" w:eastAsia="黑体"/>
          <w:b w:val="0"/>
        </w:rPr>
      </w:pPr>
      <w:bookmarkStart w:id="59" w:name="_Toc23583"/>
      <w:bookmarkStart w:id="60" w:name="_Toc15377219"/>
      <w:bookmarkStart w:id="61" w:name="_Toc15396611"/>
      <w:r>
        <w:rPr>
          <w:rStyle w:val="31"/>
          <w:rFonts w:hint="eastAsia" w:ascii="黑体" w:hAnsi="黑体" w:eastAsia="黑体"/>
          <w:b w:val="0"/>
        </w:rPr>
        <w:t>国有资本经营预算支出决算情况说明</w:t>
      </w:r>
      <w:bookmarkEnd w:id="59"/>
      <w:bookmarkEnd w:id="60"/>
      <w:bookmarkEnd w:id="61"/>
    </w:p>
    <w:p w14:paraId="6A4D92BA">
      <w:pPr>
        <w:spacing w:line="600" w:lineRule="exact"/>
        <w:ind w:firstLine="640"/>
        <w:rPr>
          <w:rFonts w:ascii="仿宋_GB2312" w:eastAsia="仿宋_GB2312"/>
          <w:sz w:val="32"/>
          <w:szCs w:val="32"/>
        </w:rPr>
      </w:pPr>
      <w:r>
        <w:rPr>
          <w:rFonts w:hint="eastAsia" w:ascii="仿宋" w:hAnsi="仿宋" w:eastAsia="仿宋" w:cs="Times New Roman"/>
          <w:sz w:val="32"/>
          <w:szCs w:val="32"/>
        </w:rPr>
        <w:t>2023年度国有资本经营预算财政拨款支出0万元</w:t>
      </w:r>
      <w:r>
        <w:rPr>
          <w:rFonts w:hint="eastAsia" w:ascii="仿宋_GB2312" w:eastAsia="仿宋_GB2312"/>
          <w:sz w:val="32"/>
          <w:szCs w:val="32"/>
        </w:rPr>
        <w:t>。</w:t>
      </w:r>
    </w:p>
    <w:p w14:paraId="596FFD89">
      <w:pPr>
        <w:numPr>
          <w:ilvl w:val="0"/>
          <w:numId w:val="4"/>
        </w:numPr>
        <w:spacing w:line="600" w:lineRule="exact"/>
        <w:ind w:firstLine="640"/>
        <w:outlineLvl w:val="1"/>
        <w:rPr>
          <w:rStyle w:val="31"/>
          <w:rFonts w:ascii="黑体" w:hAnsi="黑体" w:eastAsia="黑体"/>
          <w:b w:val="0"/>
        </w:rPr>
      </w:pPr>
      <w:bookmarkStart w:id="62" w:name="_Toc14073"/>
      <w:bookmarkStart w:id="63" w:name="_Toc15396612"/>
      <w:bookmarkStart w:id="64" w:name="_Toc15377221"/>
      <w:r>
        <w:rPr>
          <w:rStyle w:val="31"/>
          <w:rFonts w:hint="eastAsia" w:ascii="黑体" w:hAnsi="黑体" w:eastAsia="黑体"/>
          <w:b w:val="0"/>
        </w:rPr>
        <w:t>其他重要事项的情况说明</w:t>
      </w:r>
      <w:bookmarkEnd w:id="62"/>
      <w:bookmarkEnd w:id="63"/>
      <w:bookmarkEnd w:id="64"/>
    </w:p>
    <w:p w14:paraId="6B50BE7D">
      <w:pPr>
        <w:spacing w:line="600" w:lineRule="exact"/>
        <w:ind w:firstLine="643" w:firstLineChars="200"/>
        <w:outlineLvl w:val="2"/>
        <w:rPr>
          <w:rFonts w:ascii="仿宋" w:hAnsi="仿宋" w:eastAsia="仿宋"/>
          <w:sz w:val="32"/>
          <w:szCs w:val="32"/>
        </w:rPr>
      </w:pPr>
      <w:bookmarkStart w:id="65" w:name="_Toc15377222"/>
      <w:r>
        <w:rPr>
          <w:rFonts w:hint="eastAsia" w:ascii="仿宋" w:hAnsi="仿宋" w:eastAsia="仿宋"/>
          <w:b/>
          <w:sz w:val="32"/>
          <w:szCs w:val="32"/>
        </w:rPr>
        <w:t>（一）机关运行经费支出情况</w:t>
      </w:r>
      <w:bookmarkEnd w:id="65"/>
    </w:p>
    <w:p w14:paraId="5091D33B">
      <w:pPr>
        <w:spacing w:line="600" w:lineRule="exact"/>
        <w:ind w:firstLine="640" w:firstLineChars="200"/>
        <w:rPr>
          <w:rFonts w:ascii="仿宋_GB2312" w:eastAsia="仿宋_GB2312"/>
          <w:sz w:val="32"/>
          <w:szCs w:val="32"/>
        </w:rPr>
      </w:pPr>
      <w:r>
        <w:rPr>
          <w:rFonts w:hint="eastAsia" w:ascii="仿宋" w:hAnsi="仿宋" w:eastAsia="仿宋" w:cs="Times New Roman"/>
          <w:sz w:val="32"/>
          <w:szCs w:val="32"/>
        </w:rPr>
        <w:t>2023年度，射洪市武安镇文聚学校机关运行经费支出0万元，</w:t>
      </w:r>
      <w:r>
        <w:rPr>
          <w:rFonts w:hint="eastAsia" w:ascii="仿宋" w:hAnsi="仿宋" w:eastAsia="仿宋" w:cs="Times New Roman"/>
          <w:sz w:val="32"/>
          <w:szCs w:val="32"/>
          <w:lang w:val="en-US"/>
        </w:rPr>
        <w:t>比2022年度增加</w:t>
      </w:r>
      <w:r>
        <w:rPr>
          <w:rFonts w:hint="eastAsia" w:ascii="仿宋" w:hAnsi="仿宋" w:eastAsia="仿宋" w:cs="Times New Roman"/>
          <w:sz w:val="32"/>
          <w:szCs w:val="32"/>
          <w:lang w:val="en-US" w:eastAsia="zh-CN"/>
        </w:rPr>
        <w:t>持平</w:t>
      </w:r>
      <w:r>
        <w:rPr>
          <w:rFonts w:hint="eastAsia" w:ascii="仿宋" w:hAnsi="仿宋" w:eastAsia="仿宋"/>
          <w:sz w:val="32"/>
          <w:szCs w:val="32"/>
          <w:lang w:val="en-US"/>
        </w:rPr>
        <w:t>。</w:t>
      </w:r>
    </w:p>
    <w:p w14:paraId="065A479F">
      <w:pPr>
        <w:autoSpaceDE w:val="0"/>
        <w:autoSpaceDN w:val="0"/>
        <w:adjustRightInd w:val="0"/>
        <w:spacing w:line="600" w:lineRule="exact"/>
        <w:ind w:firstLine="643" w:firstLineChars="200"/>
        <w:jc w:val="left"/>
        <w:outlineLvl w:val="2"/>
        <w:rPr>
          <w:rFonts w:ascii="仿宋" w:hAnsi="仿宋" w:eastAsia="仿宋"/>
          <w:b/>
          <w:sz w:val="32"/>
          <w:szCs w:val="32"/>
        </w:rPr>
      </w:pPr>
      <w:bookmarkStart w:id="66" w:name="_Toc15377223"/>
      <w:r>
        <w:rPr>
          <w:rFonts w:hint="eastAsia" w:ascii="仿宋" w:hAnsi="仿宋" w:eastAsia="仿宋"/>
          <w:b/>
          <w:sz w:val="32"/>
          <w:szCs w:val="32"/>
        </w:rPr>
        <w:t>（二）政府采购支出情况</w:t>
      </w:r>
      <w:bookmarkEnd w:id="66"/>
    </w:p>
    <w:p w14:paraId="59723537">
      <w:pPr>
        <w:spacing w:line="60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2023年度，射洪市武安镇文聚学校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14:paraId="12ECC891">
      <w:pPr>
        <w:autoSpaceDE w:val="0"/>
        <w:autoSpaceDN w:val="0"/>
        <w:adjustRightInd w:val="0"/>
        <w:spacing w:line="600" w:lineRule="exact"/>
        <w:ind w:firstLine="643" w:firstLineChars="200"/>
        <w:jc w:val="left"/>
        <w:outlineLvl w:val="2"/>
        <w:rPr>
          <w:rFonts w:ascii="仿宋" w:hAnsi="仿宋" w:eastAsia="仿宋"/>
          <w:b/>
          <w:sz w:val="32"/>
          <w:szCs w:val="32"/>
        </w:rPr>
      </w:pPr>
      <w:bookmarkStart w:id="67" w:name="_Toc15377224"/>
      <w:r>
        <w:rPr>
          <w:rFonts w:hint="eastAsia" w:ascii="仿宋" w:hAnsi="仿宋" w:eastAsia="仿宋"/>
          <w:b/>
          <w:sz w:val="32"/>
          <w:szCs w:val="32"/>
        </w:rPr>
        <w:t>（三）国有资产占有使用情况</w:t>
      </w:r>
      <w:bookmarkEnd w:id="67"/>
    </w:p>
    <w:p w14:paraId="7F33F9A5">
      <w:pPr>
        <w:spacing w:line="60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截至2023年12月31日，射洪市武安镇文聚学校共有车辆0辆，其中：主要领导干部用车</w:t>
      </w:r>
      <w:r>
        <w:rPr>
          <w:rFonts w:hint="eastAsia" w:ascii="仿宋" w:hAnsi="仿宋" w:eastAsia="仿宋" w:cs="Times New Roman"/>
          <w:sz w:val="32"/>
          <w:szCs w:val="32"/>
          <w:lang w:val="en-US" w:eastAsia="zh-CN"/>
        </w:rPr>
        <w:t>0</w:t>
      </w:r>
      <w:r>
        <w:rPr>
          <w:rFonts w:hint="eastAsia" w:ascii="仿宋" w:hAnsi="仿宋" w:eastAsia="仿宋" w:cs="Times New Roman"/>
          <w:sz w:val="32"/>
          <w:szCs w:val="32"/>
        </w:rPr>
        <w:t>辆、机要通信用车</w:t>
      </w:r>
      <w:r>
        <w:rPr>
          <w:rFonts w:hint="eastAsia" w:ascii="仿宋" w:hAnsi="仿宋" w:eastAsia="仿宋" w:cs="Times New Roman"/>
          <w:sz w:val="32"/>
          <w:szCs w:val="32"/>
          <w:lang w:val="en-US" w:eastAsia="zh-CN"/>
        </w:rPr>
        <w:t>0</w:t>
      </w:r>
      <w:r>
        <w:rPr>
          <w:rFonts w:hint="eastAsia" w:ascii="仿宋" w:hAnsi="仿宋" w:eastAsia="仿宋" w:cs="Times New Roman"/>
          <w:sz w:val="32"/>
          <w:szCs w:val="32"/>
        </w:rPr>
        <w:t>辆、应急保障用车</w:t>
      </w:r>
      <w:r>
        <w:rPr>
          <w:rFonts w:hint="eastAsia" w:ascii="仿宋" w:hAnsi="仿宋" w:eastAsia="仿宋" w:cs="Times New Roman"/>
          <w:sz w:val="32"/>
          <w:szCs w:val="32"/>
          <w:lang w:val="en-US" w:eastAsia="zh-CN"/>
        </w:rPr>
        <w:t>0</w:t>
      </w:r>
      <w:r>
        <w:rPr>
          <w:rFonts w:hint="eastAsia" w:ascii="仿宋" w:hAnsi="仿宋" w:eastAsia="仿宋" w:cs="Times New Roman"/>
          <w:sz w:val="32"/>
          <w:szCs w:val="32"/>
        </w:rPr>
        <w:t>辆、其他用车</w:t>
      </w:r>
      <w:r>
        <w:rPr>
          <w:rFonts w:hint="eastAsia" w:ascii="仿宋" w:hAnsi="仿宋" w:eastAsia="仿宋" w:cs="Times New Roman"/>
          <w:sz w:val="32"/>
          <w:szCs w:val="32"/>
          <w:lang w:val="en-US" w:eastAsia="zh-CN"/>
        </w:rPr>
        <w:t>0</w:t>
      </w:r>
      <w:r>
        <w:rPr>
          <w:rFonts w:hint="eastAsia" w:ascii="仿宋" w:hAnsi="仿宋" w:eastAsia="仿宋" w:cs="Times New Roman"/>
          <w:sz w:val="32"/>
          <w:szCs w:val="32"/>
        </w:rPr>
        <w:t>辆。单价100万元以上设备（不含车辆）0台（套）。</w:t>
      </w:r>
    </w:p>
    <w:p w14:paraId="02BCA63D">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14:paraId="48A6DC41">
      <w:pPr>
        <w:spacing w:line="60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根据预算绩效管理要求，本单位在2023年度预算编制阶段，组织对</w:t>
      </w:r>
      <w:r>
        <w:rPr>
          <w:rFonts w:hint="eastAsia" w:ascii="仿宋" w:hAnsi="仿宋" w:eastAsia="仿宋" w:cs="Times New Roman"/>
          <w:sz w:val="32"/>
          <w:szCs w:val="32"/>
          <w:lang w:val="en-US" w:eastAsia="zh-CN"/>
        </w:rPr>
        <w:t>0</w:t>
      </w:r>
      <w:r>
        <w:rPr>
          <w:rFonts w:hint="eastAsia" w:ascii="仿宋" w:hAnsi="仿宋" w:eastAsia="仿宋" w:cs="Times New Roman"/>
          <w:sz w:val="32"/>
          <w:szCs w:val="32"/>
        </w:rPr>
        <w:t>项目（项目名称）等</w:t>
      </w:r>
      <w:r>
        <w:rPr>
          <w:rFonts w:hint="eastAsia" w:ascii="仿宋" w:hAnsi="仿宋" w:eastAsia="仿宋" w:cs="Times New Roman"/>
          <w:sz w:val="32"/>
          <w:szCs w:val="32"/>
          <w:lang w:val="en-US" w:eastAsia="zh-CN"/>
        </w:rPr>
        <w:t>0</w:t>
      </w:r>
      <w:r>
        <w:rPr>
          <w:rFonts w:hint="eastAsia" w:ascii="仿宋" w:hAnsi="仿宋" w:eastAsia="仿宋" w:cs="Times New Roman"/>
          <w:sz w:val="32"/>
          <w:szCs w:val="32"/>
        </w:rPr>
        <w:t>个项目开展了预算事前绩效评估，对</w:t>
      </w:r>
      <w:r>
        <w:rPr>
          <w:rFonts w:hint="eastAsia" w:ascii="仿宋" w:hAnsi="仿宋" w:eastAsia="仿宋" w:cs="Times New Roman"/>
          <w:sz w:val="32"/>
          <w:szCs w:val="32"/>
          <w:lang w:val="en-US" w:eastAsia="zh-CN"/>
        </w:rPr>
        <w:t>0</w:t>
      </w:r>
      <w:r>
        <w:rPr>
          <w:rFonts w:hint="eastAsia" w:ascii="仿宋" w:hAnsi="仿宋" w:eastAsia="仿宋" w:cs="Times New Roman"/>
          <w:sz w:val="32"/>
          <w:szCs w:val="32"/>
        </w:rPr>
        <w:t>个项目编制了绩效目标，预算执行过程中，选取</w:t>
      </w:r>
      <w:r>
        <w:rPr>
          <w:rFonts w:hint="eastAsia" w:ascii="仿宋" w:hAnsi="仿宋" w:eastAsia="仿宋" w:cs="Times New Roman"/>
          <w:sz w:val="32"/>
          <w:szCs w:val="32"/>
          <w:lang w:val="en-US" w:eastAsia="zh-CN"/>
        </w:rPr>
        <w:t>0</w:t>
      </w:r>
      <w:r>
        <w:rPr>
          <w:rFonts w:hint="eastAsia" w:ascii="仿宋" w:hAnsi="仿宋" w:eastAsia="仿宋" w:cs="Times New Roman"/>
          <w:sz w:val="32"/>
          <w:szCs w:val="32"/>
        </w:rPr>
        <w:t>个项目开展绩效监控，组织对</w:t>
      </w:r>
      <w:r>
        <w:rPr>
          <w:rFonts w:hint="eastAsia" w:ascii="仿宋" w:hAnsi="仿宋" w:eastAsia="仿宋" w:cs="Times New Roman"/>
          <w:sz w:val="32"/>
          <w:szCs w:val="32"/>
          <w:lang w:val="en-US" w:eastAsia="zh-CN"/>
        </w:rPr>
        <w:t>0</w:t>
      </w:r>
      <w:r>
        <w:rPr>
          <w:rFonts w:hint="eastAsia" w:ascii="仿宋" w:hAnsi="仿宋" w:eastAsia="仿宋" w:cs="Times New Roman"/>
          <w:sz w:val="32"/>
          <w:szCs w:val="32"/>
        </w:rPr>
        <w:t>个项目开展绩效自评，绩效自评表详见第四部分附件。</w:t>
      </w:r>
    </w:p>
    <w:p w14:paraId="2A8840CB">
      <w:pPr>
        <w:spacing w:line="600" w:lineRule="exact"/>
        <w:ind w:firstLine="640" w:firstLineChars="200"/>
        <w:rPr>
          <w:rFonts w:ascii="仿宋_GB2312" w:eastAsia="仿宋_GB2312"/>
          <w:sz w:val="32"/>
          <w:szCs w:val="32"/>
        </w:rPr>
      </w:pPr>
      <w:r>
        <w:rPr>
          <w:rFonts w:hint="eastAsia" w:ascii="仿宋_GB2312" w:eastAsia="仿宋_GB2312"/>
          <w:sz w:val="32"/>
          <w:szCs w:val="32"/>
        </w:rPr>
        <w:br w:type="page"/>
      </w:r>
    </w:p>
    <w:p w14:paraId="51D84AA8">
      <w:pPr>
        <w:numPr>
          <w:ilvl w:val="0"/>
          <w:numId w:val="5"/>
        </w:numPr>
        <w:spacing w:line="600" w:lineRule="exact"/>
        <w:ind w:firstLine="660" w:firstLineChars="150"/>
        <w:jc w:val="center"/>
        <w:outlineLvl w:val="0"/>
        <w:rPr>
          <w:rStyle w:val="30"/>
          <w:rFonts w:ascii="黑体" w:hAnsi="黑体" w:eastAsia="黑体"/>
          <w:b w:val="0"/>
        </w:rPr>
      </w:pPr>
      <w:bookmarkStart w:id="68" w:name="_Toc28588"/>
      <w:bookmarkStart w:id="69" w:name="_Toc15377225"/>
      <w:bookmarkStart w:id="70" w:name="_Toc15396613"/>
      <w:r>
        <w:rPr>
          <w:rFonts w:hint="eastAsia" w:ascii="黑体" w:hAnsi="黑体" w:eastAsia="黑体"/>
          <w:sz w:val="44"/>
          <w:szCs w:val="44"/>
        </w:rPr>
        <w:t>名</w:t>
      </w:r>
      <w:r>
        <w:rPr>
          <w:rStyle w:val="30"/>
          <w:rFonts w:hint="eastAsia" w:ascii="黑体" w:hAnsi="黑体" w:eastAsia="黑体"/>
          <w:b w:val="0"/>
        </w:rPr>
        <w:t>词解释</w:t>
      </w:r>
      <w:bookmarkEnd w:id="68"/>
      <w:bookmarkEnd w:id="69"/>
      <w:bookmarkEnd w:id="70"/>
    </w:p>
    <w:p w14:paraId="1971AC51">
      <w:pPr>
        <w:spacing w:line="600" w:lineRule="exact"/>
        <w:jc w:val="left"/>
        <w:rPr>
          <w:rFonts w:ascii="宋体"/>
          <w:b/>
          <w:sz w:val="44"/>
          <w:szCs w:val="44"/>
        </w:rPr>
      </w:pPr>
    </w:p>
    <w:p w14:paraId="6E2C2010">
      <w:pPr>
        <w:pStyle w:val="28"/>
        <w:spacing w:line="560" w:lineRule="exact"/>
        <w:ind w:firstLine="640" w:firstLineChars="200"/>
        <w:outlineLvl w:val="1"/>
        <w:rPr>
          <w:rFonts w:hint="eastAsia" w:ascii="仿宋" w:hAnsi="仿宋" w:eastAsia="仿宋" w:cs="Times New Roman"/>
          <w:color w:val="auto"/>
          <w:kern w:val="2"/>
          <w:sz w:val="32"/>
          <w:szCs w:val="32"/>
          <w:lang w:val="en-US" w:eastAsia="zh-CN" w:bidi="ar-SA"/>
        </w:rPr>
      </w:pPr>
      <w:bookmarkStart w:id="71" w:name="_Toc9549"/>
      <w:bookmarkStart w:id="72" w:name="_Toc15377226"/>
      <w:r>
        <w:rPr>
          <w:rFonts w:hint="eastAsia" w:ascii="仿宋" w:hAnsi="仿宋" w:eastAsia="仿宋" w:cs="Times New Roman"/>
          <w:color w:val="auto"/>
          <w:kern w:val="2"/>
          <w:sz w:val="32"/>
          <w:szCs w:val="32"/>
          <w:lang w:val="en-US" w:eastAsia="zh-CN" w:bidi="ar-SA"/>
        </w:rPr>
        <w:t>1.财政拨款收入：指单位从同级财政部门取得的财政预算资金。</w:t>
      </w:r>
      <w:bookmarkEnd w:id="71"/>
    </w:p>
    <w:p w14:paraId="41669A59">
      <w:pPr>
        <w:pStyle w:val="28"/>
        <w:spacing w:line="560" w:lineRule="exact"/>
        <w:ind w:firstLine="640" w:firstLineChars="200"/>
        <w:rPr>
          <w:rFonts w:hint="eastAsia" w:ascii="仿宋" w:hAnsi="仿宋" w:eastAsia="仿宋" w:cs="Times New Roman"/>
          <w:color w:val="auto"/>
          <w:kern w:val="2"/>
          <w:sz w:val="32"/>
          <w:szCs w:val="32"/>
          <w:lang w:val="en-US" w:eastAsia="zh-CN" w:bidi="ar-SA"/>
        </w:rPr>
      </w:pPr>
      <w:r>
        <w:rPr>
          <w:rFonts w:hint="eastAsia" w:ascii="仿宋" w:hAnsi="仿宋" w:eastAsia="仿宋" w:cs="Times New Roman"/>
          <w:color w:val="auto"/>
          <w:kern w:val="2"/>
          <w:sz w:val="32"/>
          <w:szCs w:val="32"/>
          <w:lang w:val="en-US" w:eastAsia="zh-CN" w:bidi="ar-SA"/>
        </w:rPr>
        <w:t>2.事业收入：指事业单位开展专业业务活动及辅助活动取得的收入。</w:t>
      </w:r>
    </w:p>
    <w:p w14:paraId="112FA972">
      <w:pPr>
        <w:pStyle w:val="28"/>
        <w:spacing w:line="560" w:lineRule="exact"/>
        <w:ind w:firstLine="640" w:firstLineChars="200"/>
        <w:rPr>
          <w:rFonts w:hint="eastAsia" w:ascii="仿宋" w:hAnsi="仿宋" w:eastAsia="仿宋" w:cs="Times New Roman"/>
          <w:color w:val="auto"/>
          <w:kern w:val="2"/>
          <w:sz w:val="32"/>
          <w:szCs w:val="32"/>
          <w:lang w:val="en-US" w:eastAsia="zh-CN" w:bidi="ar-SA"/>
        </w:rPr>
      </w:pPr>
      <w:r>
        <w:rPr>
          <w:rFonts w:hint="eastAsia" w:ascii="仿宋" w:hAnsi="仿宋" w:eastAsia="仿宋" w:cs="Times New Roman"/>
          <w:color w:val="auto"/>
          <w:kern w:val="2"/>
          <w:sz w:val="32"/>
          <w:szCs w:val="32"/>
          <w:lang w:val="en-US" w:eastAsia="zh-CN" w:bidi="ar-SA"/>
        </w:rPr>
        <w:t>3.经营收入：指事业单位在专业业务活动及其辅助活动之外开展非独立核算经营活动取得的收入。</w:t>
      </w:r>
    </w:p>
    <w:p w14:paraId="71916F72">
      <w:pPr>
        <w:pStyle w:val="28"/>
        <w:spacing w:line="560" w:lineRule="exact"/>
        <w:ind w:firstLine="640" w:firstLineChars="200"/>
        <w:outlineLvl w:val="1"/>
        <w:rPr>
          <w:rFonts w:hint="eastAsia" w:ascii="仿宋" w:hAnsi="仿宋" w:eastAsia="仿宋" w:cs="Times New Roman"/>
          <w:color w:val="auto"/>
          <w:kern w:val="2"/>
          <w:sz w:val="32"/>
          <w:szCs w:val="32"/>
          <w:lang w:val="en-US" w:eastAsia="zh-CN" w:bidi="ar-SA"/>
        </w:rPr>
      </w:pPr>
      <w:bookmarkStart w:id="73" w:name="_Toc19922"/>
      <w:r>
        <w:rPr>
          <w:rFonts w:hint="eastAsia" w:ascii="仿宋" w:hAnsi="仿宋" w:eastAsia="仿宋" w:cs="Times New Roman"/>
          <w:color w:val="auto"/>
          <w:kern w:val="2"/>
          <w:sz w:val="32"/>
          <w:szCs w:val="32"/>
          <w:lang w:val="en-US" w:eastAsia="zh-CN" w:bidi="ar-SA"/>
        </w:rPr>
        <w:t>4.其他收入：指单位取得的除上述收入以外的各项收入。</w:t>
      </w:r>
      <w:bookmarkEnd w:id="73"/>
    </w:p>
    <w:p w14:paraId="41CD1D60">
      <w:pPr>
        <w:pStyle w:val="28"/>
        <w:spacing w:line="560" w:lineRule="exact"/>
        <w:ind w:firstLine="640" w:firstLineChars="200"/>
        <w:rPr>
          <w:rFonts w:hint="eastAsia" w:ascii="仿宋" w:hAnsi="仿宋" w:eastAsia="仿宋" w:cs="Times New Roman"/>
          <w:color w:val="auto"/>
          <w:kern w:val="2"/>
          <w:sz w:val="32"/>
          <w:szCs w:val="32"/>
          <w:lang w:val="en-US" w:eastAsia="zh-CN" w:bidi="ar-SA"/>
        </w:rPr>
      </w:pPr>
      <w:r>
        <w:rPr>
          <w:rFonts w:hint="eastAsia" w:ascii="仿宋" w:hAnsi="仿宋" w:eastAsia="仿宋" w:cs="Times New Roman"/>
          <w:color w:val="auto"/>
          <w:kern w:val="2"/>
          <w:sz w:val="32"/>
          <w:szCs w:val="32"/>
          <w:lang w:val="en-US" w:eastAsia="zh-CN" w:bidi="ar-SA"/>
        </w:rPr>
        <w:t>5.使用非财政拨款结余：指事业单位使用以前年度积累的非财政拨款结余弥补当年收支差额的金额。</w:t>
      </w:r>
    </w:p>
    <w:p w14:paraId="60FECD13">
      <w:pPr>
        <w:pStyle w:val="28"/>
        <w:spacing w:line="560" w:lineRule="exact"/>
        <w:ind w:firstLine="640" w:firstLineChars="200"/>
        <w:rPr>
          <w:rFonts w:hint="eastAsia" w:ascii="仿宋" w:hAnsi="仿宋" w:eastAsia="仿宋" w:cs="Times New Roman"/>
          <w:color w:val="auto"/>
          <w:kern w:val="2"/>
          <w:sz w:val="32"/>
          <w:szCs w:val="32"/>
          <w:lang w:val="en-US" w:eastAsia="zh-CN" w:bidi="ar-SA"/>
        </w:rPr>
      </w:pPr>
      <w:r>
        <w:rPr>
          <w:rFonts w:hint="eastAsia" w:ascii="仿宋" w:hAnsi="仿宋" w:eastAsia="仿宋" w:cs="Times New Roman"/>
          <w:color w:val="auto"/>
          <w:kern w:val="2"/>
          <w:sz w:val="32"/>
          <w:szCs w:val="32"/>
          <w:lang w:val="en-US" w:eastAsia="zh-CN" w:bidi="ar-SA"/>
        </w:rPr>
        <w:t>6.年初结转和结余：指以前年度尚未完成、结转到本年按有关规定继续使用的资金。</w:t>
      </w:r>
    </w:p>
    <w:p w14:paraId="597897FB">
      <w:pPr>
        <w:pStyle w:val="28"/>
        <w:spacing w:line="560" w:lineRule="exact"/>
        <w:ind w:firstLine="640" w:firstLineChars="200"/>
        <w:rPr>
          <w:rFonts w:hint="eastAsia" w:ascii="仿宋" w:hAnsi="仿宋" w:eastAsia="仿宋" w:cs="Times New Roman"/>
          <w:color w:val="auto"/>
          <w:kern w:val="2"/>
          <w:sz w:val="32"/>
          <w:szCs w:val="32"/>
          <w:lang w:val="en-US" w:eastAsia="zh-CN" w:bidi="ar-SA"/>
        </w:rPr>
      </w:pPr>
      <w:r>
        <w:rPr>
          <w:rFonts w:hint="eastAsia" w:ascii="仿宋" w:hAnsi="仿宋" w:eastAsia="仿宋" w:cs="Times New Roman"/>
          <w:color w:val="auto"/>
          <w:kern w:val="2"/>
          <w:sz w:val="32"/>
          <w:szCs w:val="32"/>
          <w:lang w:val="en-US" w:eastAsia="zh-CN" w:bidi="ar-SA"/>
        </w:rPr>
        <w:t>7.结余分配：指事业单位按照会计制度规定缴纳的所得税、提取的专用结余以及转入非财政拨款结余的金额等。</w:t>
      </w:r>
    </w:p>
    <w:p w14:paraId="5F35ACD1">
      <w:pPr>
        <w:pStyle w:val="28"/>
        <w:spacing w:line="560" w:lineRule="exact"/>
        <w:ind w:firstLine="640" w:firstLineChars="200"/>
        <w:rPr>
          <w:rFonts w:hint="eastAsia" w:ascii="仿宋" w:hAnsi="仿宋" w:eastAsia="仿宋" w:cs="Times New Roman"/>
          <w:color w:val="auto"/>
          <w:kern w:val="2"/>
          <w:sz w:val="32"/>
          <w:szCs w:val="32"/>
          <w:lang w:val="en-US" w:eastAsia="zh-CN" w:bidi="ar-SA"/>
        </w:rPr>
      </w:pPr>
      <w:r>
        <w:rPr>
          <w:rFonts w:hint="eastAsia" w:ascii="仿宋" w:hAnsi="仿宋" w:eastAsia="仿宋" w:cs="Times New Roman"/>
          <w:color w:val="auto"/>
          <w:kern w:val="2"/>
          <w:sz w:val="32"/>
          <w:szCs w:val="32"/>
          <w:lang w:val="en-US" w:eastAsia="zh-CN" w:bidi="ar-SA"/>
        </w:rPr>
        <w:t>8</w:t>
      </w:r>
      <w:r>
        <w:rPr>
          <w:rFonts w:hint="eastAsia" w:hAnsi="仿宋" w:cs="Times New Roman"/>
          <w:color w:val="auto"/>
          <w:kern w:val="2"/>
          <w:sz w:val="32"/>
          <w:szCs w:val="32"/>
          <w:lang w:val="en-US" w:eastAsia="zh-CN" w:bidi="ar-SA"/>
        </w:rPr>
        <w:t>.</w:t>
      </w:r>
      <w:r>
        <w:rPr>
          <w:rFonts w:hint="eastAsia" w:ascii="仿宋" w:hAnsi="仿宋" w:eastAsia="仿宋" w:cs="Times New Roman"/>
          <w:color w:val="auto"/>
          <w:kern w:val="2"/>
          <w:sz w:val="32"/>
          <w:szCs w:val="32"/>
          <w:lang w:val="en-US" w:eastAsia="zh-CN" w:bidi="ar-SA"/>
        </w:rPr>
        <w:t>年末结转和结余：指单位按有关规定结转到下年或以后年度继续使用的资金。</w:t>
      </w:r>
    </w:p>
    <w:p w14:paraId="75BD4B20">
      <w:pPr>
        <w:spacing w:line="600" w:lineRule="exact"/>
        <w:ind w:firstLine="640"/>
        <w:rPr>
          <w:rFonts w:hint="eastAsia" w:ascii="仿宋" w:hAnsi="仿宋" w:eastAsia="仿宋" w:cs="Times New Roman"/>
          <w:color w:val="auto"/>
          <w:kern w:val="2"/>
          <w:sz w:val="32"/>
          <w:szCs w:val="32"/>
          <w:lang w:val="en-US" w:eastAsia="zh-CN" w:bidi="ar-SA"/>
        </w:rPr>
      </w:pPr>
      <w:r>
        <w:rPr>
          <w:rFonts w:hint="eastAsia" w:ascii="仿宋" w:hAnsi="仿宋" w:eastAsia="仿宋" w:cs="Times New Roman"/>
          <w:color w:val="auto"/>
          <w:kern w:val="2"/>
          <w:sz w:val="32"/>
          <w:szCs w:val="32"/>
          <w:lang w:val="en-US" w:eastAsia="zh-CN" w:bidi="ar-SA"/>
        </w:rPr>
        <w:t>9.基本支出：指为保障机构正常运转、完成日常工作任务而发生的人员支出和公用支出。</w:t>
      </w:r>
    </w:p>
    <w:p w14:paraId="6E7BF73C">
      <w:pPr>
        <w:keepNext w:val="0"/>
        <w:keepLines w:val="0"/>
        <w:pageBreakBefore w:val="0"/>
        <w:widowControl w:val="0"/>
        <w:kinsoku/>
        <w:wordWrap/>
        <w:overflowPunct/>
        <w:topLinePunct w:val="0"/>
        <w:bidi w:val="0"/>
        <w:snapToGrid/>
        <w:ind w:firstLine="640" w:firstLineChars="200"/>
        <w:textAlignment w:val="auto"/>
        <w:rPr>
          <w:rFonts w:hint="eastAsia" w:ascii="仿宋" w:hAnsi="仿宋" w:eastAsia="仿宋" w:cs="Times New Roman"/>
          <w:color w:val="auto"/>
          <w:kern w:val="2"/>
          <w:sz w:val="32"/>
          <w:szCs w:val="32"/>
          <w:lang w:val="en-US" w:eastAsia="zh-CN" w:bidi="ar-SA"/>
        </w:rPr>
      </w:pPr>
      <w:r>
        <w:rPr>
          <w:rFonts w:hint="eastAsia" w:ascii="仿宋" w:hAnsi="仿宋" w:eastAsia="仿宋" w:cs="Times New Roman"/>
          <w:color w:val="auto"/>
          <w:kern w:val="2"/>
          <w:sz w:val="32"/>
          <w:szCs w:val="32"/>
          <w:lang w:val="en-US" w:eastAsia="zh-CN" w:bidi="ar-SA"/>
        </w:rPr>
        <w:t>10.项目支出：指在基本支出之外为完成特定行政任务和事业发展目标所发生的支出。</w:t>
      </w:r>
    </w:p>
    <w:p w14:paraId="77EB8CC6">
      <w:pPr>
        <w:keepNext w:val="0"/>
        <w:keepLines w:val="0"/>
        <w:pageBreakBefore w:val="0"/>
        <w:widowControl w:val="0"/>
        <w:kinsoku/>
        <w:wordWrap/>
        <w:overflowPunct/>
        <w:topLinePunct w:val="0"/>
        <w:bidi w:val="0"/>
        <w:snapToGrid/>
        <w:ind w:firstLine="640" w:firstLineChars="200"/>
        <w:textAlignment w:val="auto"/>
        <w:rPr>
          <w:rFonts w:hint="eastAsia" w:ascii="仿宋" w:hAnsi="仿宋" w:eastAsia="仿宋" w:cs="Times New Roman"/>
          <w:color w:val="auto"/>
          <w:kern w:val="2"/>
          <w:sz w:val="32"/>
          <w:szCs w:val="32"/>
          <w:lang w:val="en-US" w:eastAsia="zh-CN" w:bidi="ar-SA"/>
        </w:rPr>
      </w:pPr>
      <w:r>
        <w:rPr>
          <w:rFonts w:hint="eastAsia" w:ascii="仿宋" w:hAnsi="仿宋" w:eastAsia="仿宋" w:cs="Times New Roman"/>
          <w:color w:val="auto"/>
          <w:kern w:val="2"/>
          <w:sz w:val="32"/>
          <w:szCs w:val="32"/>
          <w:lang w:val="en-US" w:eastAsia="zh-CN" w:bidi="ar-SA"/>
        </w:rPr>
        <w:t>11.经营支出：指事业单位在专业业务活动及其辅助活动之外开展非独立核算经营活动发生的支出。</w:t>
      </w:r>
    </w:p>
    <w:p w14:paraId="4D854654">
      <w:pPr>
        <w:pStyle w:val="28"/>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s="Times New Roman"/>
          <w:color w:val="auto"/>
          <w:kern w:val="2"/>
          <w:sz w:val="32"/>
          <w:szCs w:val="32"/>
          <w:lang w:val="en-US" w:eastAsia="zh-CN" w:bidi="ar-SA"/>
        </w:rPr>
      </w:pPr>
      <w:r>
        <w:rPr>
          <w:rFonts w:hint="eastAsia" w:ascii="仿宋" w:hAnsi="仿宋" w:eastAsia="仿宋" w:cs="Times New Roman"/>
          <w:color w:val="auto"/>
          <w:kern w:val="2"/>
          <w:sz w:val="32"/>
          <w:szCs w:val="32"/>
          <w:lang w:val="en-US" w:eastAsia="zh-CN" w:bidi="ar-SA"/>
        </w:rPr>
        <w:t>12.“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5ED2C1DC">
      <w:pPr>
        <w:pStyle w:val="28"/>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s="Times New Roman"/>
          <w:color w:val="auto"/>
          <w:kern w:val="2"/>
          <w:sz w:val="32"/>
          <w:szCs w:val="32"/>
          <w:lang w:val="en-US" w:eastAsia="zh-CN" w:bidi="ar-SA"/>
        </w:rPr>
      </w:pPr>
      <w:r>
        <w:rPr>
          <w:rFonts w:hint="eastAsia" w:ascii="仿宋" w:hAnsi="仿宋" w:eastAsia="仿宋" w:cs="Times New Roman"/>
          <w:color w:val="auto"/>
          <w:kern w:val="2"/>
          <w:sz w:val="32"/>
          <w:szCs w:val="32"/>
          <w:lang w:val="en-US" w:eastAsia="zh-CN" w:bidi="ar-SA"/>
        </w:rPr>
        <w:t>13.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080BB37">
      <w:pPr>
        <w:keepNext w:val="0"/>
        <w:keepLines w:val="0"/>
        <w:pageBreakBefore w:val="0"/>
        <w:widowControl w:val="0"/>
        <w:kinsoku/>
        <w:wordWrap/>
        <w:overflowPunct/>
        <w:topLinePunct w:val="0"/>
        <w:bidi w:val="0"/>
        <w:snapToGrid/>
        <w:ind w:firstLine="640" w:firstLineChars="200"/>
        <w:textAlignment w:val="auto"/>
        <w:rPr>
          <w:rFonts w:hint="eastAsia" w:ascii="仿宋" w:hAnsi="仿宋" w:eastAsia="仿宋" w:cs="Times New Roman"/>
          <w:color w:val="auto"/>
          <w:kern w:val="2"/>
          <w:sz w:val="32"/>
          <w:szCs w:val="32"/>
          <w:lang w:val="en-US" w:eastAsia="zh-CN" w:bidi="ar-SA"/>
        </w:rPr>
      </w:pPr>
      <w:r>
        <w:rPr>
          <w:rFonts w:hint="eastAsia" w:ascii="仿宋" w:hAnsi="仿宋" w:eastAsia="仿宋" w:cs="Times New Roman"/>
          <w:color w:val="auto"/>
          <w:kern w:val="2"/>
          <w:sz w:val="32"/>
          <w:szCs w:val="32"/>
          <w:lang w:val="en-US" w:eastAsia="zh-CN" w:bidi="ar-SA"/>
        </w:rPr>
        <w:t>14.住房保障支出（类）住房改革支出（款）住房公积金（项）：指行政事业单位住房公积金缴费支出。</w:t>
      </w:r>
    </w:p>
    <w:p w14:paraId="465EC339">
      <w:pPr>
        <w:pStyle w:val="14"/>
        <w:keepNext w:val="0"/>
        <w:keepLines w:val="0"/>
        <w:pageBreakBefore w:val="0"/>
        <w:widowControl w:val="0"/>
        <w:kinsoku/>
        <w:wordWrap/>
        <w:overflowPunct/>
        <w:topLinePunct w:val="0"/>
        <w:bidi w:val="0"/>
        <w:snapToGrid/>
        <w:spacing w:before="0" w:after="0"/>
        <w:ind w:firstLine="640" w:firstLineChars="200"/>
        <w:jc w:val="left"/>
        <w:textAlignment w:val="auto"/>
        <w:rPr>
          <w:rFonts w:hint="eastAsia" w:ascii="仿宋" w:hAnsi="仿宋" w:eastAsia="仿宋" w:cs="Times New Roman"/>
          <w:b w:val="0"/>
          <w:bCs w:val="0"/>
          <w:color w:val="auto"/>
          <w:kern w:val="2"/>
          <w:sz w:val="32"/>
          <w:szCs w:val="32"/>
          <w:lang w:val="en-US" w:eastAsia="zh-CN" w:bidi="ar-SA"/>
        </w:rPr>
      </w:pPr>
      <w:bookmarkStart w:id="74" w:name="_Toc23562"/>
      <w:r>
        <w:rPr>
          <w:rFonts w:hint="eastAsia" w:ascii="仿宋" w:hAnsi="仿宋" w:eastAsia="仿宋" w:cs="Times New Roman"/>
          <w:b w:val="0"/>
          <w:bCs w:val="0"/>
          <w:color w:val="auto"/>
          <w:kern w:val="2"/>
          <w:sz w:val="32"/>
          <w:szCs w:val="32"/>
          <w:lang w:val="en-US" w:eastAsia="zh-CN" w:bidi="ar-SA"/>
        </w:rPr>
        <w:t>15.农林水（类）巩固脱贫衔接乡村振兴（款）社会发展（项）：指建档立卡学生补助支出。</w:t>
      </w:r>
      <w:bookmarkEnd w:id="74"/>
    </w:p>
    <w:p w14:paraId="6571B60E">
      <w:pPr>
        <w:pStyle w:val="14"/>
        <w:keepNext w:val="0"/>
        <w:keepLines w:val="0"/>
        <w:pageBreakBefore w:val="0"/>
        <w:widowControl w:val="0"/>
        <w:kinsoku/>
        <w:wordWrap/>
        <w:overflowPunct/>
        <w:topLinePunct w:val="0"/>
        <w:bidi w:val="0"/>
        <w:snapToGrid/>
        <w:spacing w:before="0" w:after="0"/>
        <w:ind w:firstLine="640" w:firstLineChars="200"/>
        <w:jc w:val="left"/>
        <w:textAlignment w:val="auto"/>
        <w:rPr>
          <w:rFonts w:hint="eastAsia" w:ascii="仿宋" w:hAnsi="仿宋" w:eastAsia="仿宋" w:cs="Times New Roman"/>
          <w:b w:val="0"/>
          <w:bCs w:val="0"/>
          <w:color w:val="auto"/>
          <w:kern w:val="2"/>
          <w:sz w:val="32"/>
          <w:szCs w:val="32"/>
          <w:lang w:val="en-US" w:eastAsia="zh-CN" w:bidi="ar-SA"/>
        </w:rPr>
      </w:pPr>
      <w:bookmarkStart w:id="75" w:name="_Toc1468"/>
      <w:r>
        <w:rPr>
          <w:rFonts w:hint="eastAsia" w:ascii="仿宋" w:hAnsi="仿宋" w:eastAsia="仿宋" w:cs="Times New Roman"/>
          <w:b w:val="0"/>
          <w:bCs w:val="0"/>
          <w:color w:val="auto"/>
          <w:kern w:val="2"/>
          <w:sz w:val="32"/>
          <w:szCs w:val="32"/>
          <w:lang w:val="en-US" w:eastAsia="zh-CN" w:bidi="ar-SA"/>
        </w:rPr>
        <w:t>16.教育支出（类）普通教育（款）小学教育（项），主要用于：教体局行政运行的基本支出，包括基本工资、津贴补贴等人员经费以及办公费、水电费等日常公用经费支出。</w:t>
      </w:r>
      <w:bookmarkEnd w:id="75"/>
    </w:p>
    <w:p w14:paraId="55DA5059">
      <w:pPr>
        <w:pStyle w:val="14"/>
        <w:keepNext w:val="0"/>
        <w:keepLines w:val="0"/>
        <w:pageBreakBefore w:val="0"/>
        <w:widowControl w:val="0"/>
        <w:kinsoku/>
        <w:wordWrap/>
        <w:overflowPunct/>
        <w:topLinePunct w:val="0"/>
        <w:bidi w:val="0"/>
        <w:snapToGrid/>
        <w:spacing w:before="0" w:after="0"/>
        <w:ind w:firstLine="640" w:firstLineChars="200"/>
        <w:jc w:val="left"/>
        <w:textAlignment w:val="auto"/>
        <w:rPr>
          <w:rFonts w:hint="eastAsia" w:ascii="仿宋" w:hAnsi="仿宋" w:eastAsia="仿宋" w:cs="Times New Roman"/>
          <w:b w:val="0"/>
          <w:bCs w:val="0"/>
          <w:color w:val="auto"/>
          <w:kern w:val="2"/>
          <w:sz w:val="32"/>
          <w:szCs w:val="32"/>
          <w:lang w:val="en-US" w:eastAsia="zh-CN" w:bidi="ar-SA"/>
        </w:rPr>
      </w:pPr>
      <w:bookmarkStart w:id="76" w:name="_Toc2181"/>
      <w:r>
        <w:rPr>
          <w:rFonts w:hint="eastAsia" w:ascii="仿宋" w:hAnsi="仿宋" w:eastAsia="仿宋" w:cs="Times New Roman"/>
          <w:b w:val="0"/>
          <w:bCs w:val="0"/>
          <w:color w:val="auto"/>
          <w:kern w:val="2"/>
          <w:sz w:val="32"/>
          <w:szCs w:val="32"/>
          <w:lang w:val="en-US" w:eastAsia="zh-CN" w:bidi="ar-SA"/>
        </w:rPr>
        <w:t>17.教育支出（类）普通教育（款）初中教育（项）：</w:t>
      </w:r>
      <w:bookmarkEnd w:id="76"/>
      <w:bookmarkStart w:id="77" w:name="_Toc18873"/>
      <w:r>
        <w:rPr>
          <w:rFonts w:hint="eastAsia" w:ascii="仿宋" w:hAnsi="仿宋" w:eastAsia="仿宋" w:cs="Times New Roman"/>
          <w:b w:val="0"/>
          <w:bCs w:val="0"/>
          <w:color w:val="auto"/>
          <w:kern w:val="2"/>
          <w:sz w:val="32"/>
          <w:szCs w:val="32"/>
          <w:lang w:val="en-US" w:eastAsia="zh-CN" w:bidi="ar-SA"/>
        </w:rPr>
        <w:t>反映各部门举办的初中教育支出。政府各部门对社会组织等 举办的初中的资助，如捐赠、补贴等，也在本科目中反映。18.社会保障和就业支出（类）人力资源和社会保障管理事务（款）事业运行（项）：指行政单位（包括实行公务员管理的事业单位）的基本支出。</w:t>
      </w:r>
      <w:bookmarkEnd w:id="77"/>
    </w:p>
    <w:p w14:paraId="5FF8832B">
      <w:pPr>
        <w:pStyle w:val="14"/>
        <w:keepNext w:val="0"/>
        <w:keepLines w:val="0"/>
        <w:pageBreakBefore w:val="0"/>
        <w:widowControl w:val="0"/>
        <w:kinsoku/>
        <w:wordWrap/>
        <w:overflowPunct/>
        <w:topLinePunct w:val="0"/>
        <w:bidi w:val="0"/>
        <w:snapToGrid/>
        <w:spacing w:before="0" w:after="0"/>
        <w:ind w:firstLine="640" w:firstLineChars="200"/>
        <w:jc w:val="left"/>
        <w:textAlignment w:val="auto"/>
        <w:rPr>
          <w:rFonts w:hint="eastAsia" w:ascii="仿宋" w:hAnsi="仿宋" w:eastAsia="仿宋" w:cs="Times New Roman"/>
          <w:b w:val="0"/>
          <w:bCs w:val="0"/>
          <w:color w:val="auto"/>
          <w:kern w:val="2"/>
          <w:sz w:val="32"/>
          <w:szCs w:val="32"/>
          <w:lang w:val="en-US" w:eastAsia="zh-CN" w:bidi="ar-SA"/>
        </w:rPr>
      </w:pPr>
      <w:bookmarkStart w:id="78" w:name="_Toc3555"/>
      <w:r>
        <w:rPr>
          <w:rFonts w:hint="eastAsia" w:ascii="仿宋" w:hAnsi="仿宋" w:eastAsia="仿宋" w:cs="Times New Roman"/>
          <w:b w:val="0"/>
          <w:bCs w:val="0"/>
          <w:color w:val="auto"/>
          <w:kern w:val="2"/>
          <w:sz w:val="32"/>
          <w:szCs w:val="32"/>
          <w:lang w:val="en-US" w:eastAsia="zh-CN" w:bidi="ar-SA"/>
        </w:rPr>
        <w:t>19.卫生健康支出（类）行政事业单位医疗（款）事业单位医疗（项）反映事业单位医疗方面的支出。</w:t>
      </w:r>
      <w:bookmarkEnd w:id="78"/>
    </w:p>
    <w:p w14:paraId="74A11FA1">
      <w:pPr>
        <w:pStyle w:val="14"/>
        <w:keepNext w:val="0"/>
        <w:keepLines w:val="0"/>
        <w:pageBreakBefore w:val="0"/>
        <w:widowControl w:val="0"/>
        <w:kinsoku/>
        <w:wordWrap/>
        <w:overflowPunct/>
        <w:topLinePunct w:val="0"/>
        <w:bidi w:val="0"/>
        <w:snapToGrid/>
        <w:spacing w:before="0" w:after="0"/>
        <w:ind w:firstLine="640" w:firstLineChars="200"/>
        <w:jc w:val="left"/>
        <w:textAlignment w:val="auto"/>
        <w:rPr>
          <w:rFonts w:hint="eastAsia" w:ascii="仿宋" w:hAnsi="仿宋" w:eastAsia="仿宋" w:cs="Times New Roman"/>
          <w:b w:val="0"/>
          <w:bCs w:val="0"/>
          <w:color w:val="auto"/>
          <w:kern w:val="2"/>
          <w:sz w:val="32"/>
          <w:szCs w:val="32"/>
          <w:lang w:val="en-US" w:eastAsia="zh-CN" w:bidi="ar-SA"/>
        </w:rPr>
      </w:pPr>
      <w:bookmarkStart w:id="79" w:name="_Toc15557"/>
      <w:r>
        <w:rPr>
          <w:rFonts w:hint="eastAsia" w:ascii="仿宋" w:hAnsi="仿宋" w:eastAsia="仿宋" w:cs="Times New Roman"/>
          <w:b w:val="0"/>
          <w:bCs w:val="0"/>
          <w:color w:val="auto"/>
          <w:kern w:val="2"/>
          <w:sz w:val="32"/>
          <w:szCs w:val="32"/>
          <w:lang w:val="en-US" w:eastAsia="zh-CN" w:bidi="ar-SA"/>
        </w:rPr>
        <w:t>20.社会保障和就业（类）行政事业单位养老支出（款）机关事业单位基本养老保险缴费支出（项）反映机关事业单位基本养老保险缴费支出。</w:t>
      </w:r>
      <w:bookmarkEnd w:id="79"/>
    </w:p>
    <w:p w14:paraId="2100EFD9">
      <w:pPr>
        <w:pStyle w:val="14"/>
        <w:keepNext w:val="0"/>
        <w:keepLines w:val="0"/>
        <w:pageBreakBefore w:val="0"/>
        <w:widowControl w:val="0"/>
        <w:kinsoku/>
        <w:wordWrap/>
        <w:overflowPunct/>
        <w:topLinePunct w:val="0"/>
        <w:bidi w:val="0"/>
        <w:snapToGrid/>
        <w:spacing w:before="0" w:after="0"/>
        <w:ind w:firstLine="640" w:firstLineChars="200"/>
        <w:jc w:val="left"/>
        <w:textAlignment w:val="auto"/>
        <w:rPr>
          <w:rFonts w:hint="eastAsia" w:ascii="仿宋" w:hAnsi="仿宋" w:eastAsia="仿宋" w:cs="Times New Roman"/>
          <w:b w:val="0"/>
          <w:bCs w:val="0"/>
          <w:color w:val="auto"/>
          <w:kern w:val="2"/>
          <w:sz w:val="32"/>
          <w:szCs w:val="32"/>
          <w:lang w:val="en-US" w:eastAsia="zh-CN" w:bidi="ar-SA"/>
        </w:rPr>
      </w:pPr>
      <w:bookmarkStart w:id="80" w:name="_Toc17900"/>
      <w:r>
        <w:rPr>
          <w:rFonts w:hint="eastAsia" w:ascii="仿宋" w:hAnsi="仿宋" w:eastAsia="仿宋" w:cs="Times New Roman"/>
          <w:b w:val="0"/>
          <w:bCs w:val="0"/>
          <w:color w:val="auto"/>
          <w:kern w:val="2"/>
          <w:sz w:val="32"/>
          <w:szCs w:val="32"/>
          <w:lang w:val="en-US" w:eastAsia="zh-CN" w:bidi="ar-SA"/>
        </w:rPr>
        <w:t>21.卫生健康支出（类）行政事业单位医疗（款）其他行政事业单位医疗支出（项）反映其他行政事业单位医疗方面的支出。</w:t>
      </w:r>
      <w:bookmarkEnd w:id="80"/>
    </w:p>
    <w:p w14:paraId="39F4F639">
      <w:pPr>
        <w:pStyle w:val="14"/>
        <w:keepNext w:val="0"/>
        <w:keepLines w:val="0"/>
        <w:pageBreakBefore w:val="0"/>
        <w:widowControl w:val="0"/>
        <w:kinsoku/>
        <w:wordWrap/>
        <w:overflowPunct/>
        <w:topLinePunct w:val="0"/>
        <w:bidi w:val="0"/>
        <w:snapToGrid/>
        <w:spacing w:before="0" w:after="0"/>
        <w:ind w:firstLine="640" w:firstLineChars="200"/>
        <w:jc w:val="left"/>
        <w:textAlignment w:val="auto"/>
        <w:rPr>
          <w:rFonts w:hint="eastAsia" w:ascii="仿宋" w:hAnsi="仿宋" w:eastAsia="仿宋" w:cs="Times New Roman"/>
          <w:b w:val="0"/>
          <w:bCs w:val="0"/>
          <w:color w:val="auto"/>
          <w:kern w:val="2"/>
          <w:sz w:val="32"/>
          <w:szCs w:val="32"/>
          <w:lang w:val="en-US" w:eastAsia="zh-CN" w:bidi="ar-SA"/>
        </w:rPr>
      </w:pPr>
      <w:bookmarkStart w:id="81" w:name="_Toc16979"/>
      <w:r>
        <w:rPr>
          <w:rFonts w:hint="eastAsia" w:ascii="仿宋" w:hAnsi="仿宋" w:eastAsia="仿宋" w:cs="Times New Roman"/>
          <w:b w:val="0"/>
          <w:bCs w:val="0"/>
          <w:color w:val="auto"/>
          <w:kern w:val="2"/>
          <w:sz w:val="32"/>
          <w:szCs w:val="32"/>
          <w:lang w:val="en-US" w:eastAsia="zh-CN" w:bidi="ar-SA"/>
        </w:rPr>
        <w:t>22.社会保障和就业（类）其他社会保障和就业支出（款）其他社会保障和就业支出（项）反映除上述项目以外其他用于社会保障和就业方面的支出。</w:t>
      </w:r>
      <w:bookmarkEnd w:id="81"/>
    </w:p>
    <w:p w14:paraId="5D5828E8">
      <w:pPr>
        <w:spacing w:line="600" w:lineRule="exact"/>
        <w:jc w:val="center"/>
        <w:outlineLvl w:val="0"/>
        <w:rPr>
          <w:rStyle w:val="30"/>
          <w:rFonts w:ascii="黑体" w:hAnsi="黑体" w:eastAsia="黑体"/>
          <w:b w:val="0"/>
        </w:rPr>
      </w:pPr>
      <w:r>
        <w:rPr>
          <w:rFonts w:ascii="宋体"/>
          <w:b/>
          <w:sz w:val="44"/>
          <w:szCs w:val="44"/>
        </w:rPr>
        <w:br w:type="page"/>
      </w:r>
      <w:bookmarkStart w:id="82" w:name="_Toc28476"/>
      <w:bookmarkStart w:id="83" w:name="_Toc15396614"/>
      <w:r>
        <w:rPr>
          <w:rFonts w:hint="eastAsia" w:ascii="黑体" w:hAnsi="黑体" w:eastAsia="黑体"/>
          <w:sz w:val="44"/>
          <w:szCs w:val="44"/>
        </w:rPr>
        <w:t>第</w:t>
      </w:r>
      <w:r>
        <w:rPr>
          <w:rStyle w:val="30"/>
          <w:rFonts w:hint="eastAsia" w:ascii="黑体" w:hAnsi="黑体" w:eastAsia="黑体"/>
          <w:b w:val="0"/>
        </w:rPr>
        <w:t>四部分 附件</w:t>
      </w:r>
      <w:bookmarkEnd w:id="82"/>
      <w:bookmarkEnd w:id="83"/>
    </w:p>
    <w:p w14:paraId="77A8B990">
      <w:pPr>
        <w:spacing w:line="572" w:lineRule="exact"/>
        <w:jc w:val="left"/>
        <w:outlineLvl w:val="9"/>
        <w:rPr>
          <w:rFonts w:ascii="仿宋_GB2312" w:hAnsi="仿宋_GB2312" w:eastAsia="仿宋_GB2312" w:cs="仿宋_GB2312"/>
          <w:sz w:val="32"/>
          <w:szCs w:val="32"/>
        </w:rPr>
      </w:pPr>
    </w:p>
    <w:tbl>
      <w:tblPr>
        <w:tblStyle w:val="1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72"/>
        <w:gridCol w:w="905"/>
        <w:gridCol w:w="1206"/>
        <w:gridCol w:w="396"/>
        <w:gridCol w:w="847"/>
        <w:gridCol w:w="397"/>
        <w:gridCol w:w="848"/>
        <w:gridCol w:w="486"/>
        <w:gridCol w:w="397"/>
        <w:gridCol w:w="1389"/>
      </w:tblGrid>
      <w:tr w14:paraId="54A3F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2207" w:type="pct"/>
            <w:gridSpan w:val="4"/>
            <w:tcBorders>
              <w:top w:val="nil"/>
              <w:left w:val="nil"/>
              <w:bottom w:val="nil"/>
              <w:right w:val="nil"/>
            </w:tcBorders>
            <w:shd w:val="clear" w:color="auto" w:fill="auto"/>
            <w:vAlign w:val="center"/>
          </w:tcPr>
          <w:p w14:paraId="6AFABB0B">
            <w:pPr>
              <w:keepNext w:val="0"/>
              <w:keepLines w:val="0"/>
              <w:widowControl/>
              <w:suppressLineNumbers w:val="0"/>
              <w:jc w:val="left"/>
              <w:textAlignment w:val="center"/>
              <w:rPr>
                <w:rFonts w:ascii="宋体" w:hAnsi="宋体" w:eastAsia="宋体" w:cs="宋体"/>
                <w:i w:val="0"/>
                <w:iCs w:val="0"/>
                <w:color w:val="C0C0C0"/>
                <w:sz w:val="20"/>
                <w:szCs w:val="20"/>
                <w:u w:val="none"/>
              </w:rPr>
            </w:pPr>
            <w:bookmarkStart w:id="84" w:name="_Toc15396618"/>
            <w:r>
              <w:rPr>
                <w:rFonts w:ascii="宋体" w:hAnsi="宋体" w:eastAsia="宋体" w:cs="宋体"/>
                <w:i w:val="0"/>
                <w:iCs w:val="0"/>
                <w:color w:val="C0C0C0"/>
                <w:kern w:val="0"/>
                <w:sz w:val="20"/>
                <w:szCs w:val="20"/>
                <w:u w:val="none"/>
                <w:lang w:val="en-US" w:eastAsia="zh-CN" w:bidi="ar"/>
              </w:rPr>
              <w:t>报表编号：510000_0013zp</w:t>
            </w:r>
          </w:p>
        </w:tc>
        <w:tc>
          <w:tcPr>
            <w:tcW w:w="232" w:type="pct"/>
            <w:tcBorders>
              <w:top w:val="nil"/>
              <w:left w:val="nil"/>
              <w:bottom w:val="nil"/>
              <w:right w:val="nil"/>
            </w:tcBorders>
            <w:shd w:val="clear" w:color="auto" w:fill="auto"/>
            <w:noWrap/>
            <w:vAlign w:val="center"/>
          </w:tcPr>
          <w:p w14:paraId="6D651BA5">
            <w:pPr>
              <w:rPr>
                <w:rFonts w:hint="eastAsia" w:ascii="宋体" w:hAnsi="宋体" w:eastAsia="宋体" w:cs="宋体"/>
                <w:i w:val="0"/>
                <w:iCs w:val="0"/>
                <w:color w:val="000000"/>
                <w:sz w:val="22"/>
                <w:szCs w:val="22"/>
                <w:u w:val="none"/>
              </w:rPr>
            </w:pPr>
          </w:p>
        </w:tc>
        <w:tc>
          <w:tcPr>
            <w:tcW w:w="1227" w:type="pct"/>
            <w:gridSpan w:val="3"/>
            <w:tcBorders>
              <w:top w:val="nil"/>
              <w:left w:val="nil"/>
              <w:bottom w:val="nil"/>
              <w:right w:val="nil"/>
            </w:tcBorders>
            <w:shd w:val="clear" w:color="auto" w:fill="auto"/>
            <w:vAlign w:val="center"/>
          </w:tcPr>
          <w:p w14:paraId="62C7EC4F">
            <w:pPr>
              <w:rPr>
                <w:rFonts w:hint="eastAsia" w:ascii="宋体" w:hAnsi="宋体" w:eastAsia="宋体" w:cs="宋体"/>
                <w:i w:val="0"/>
                <w:iCs w:val="0"/>
                <w:color w:val="000000"/>
                <w:sz w:val="20"/>
                <w:szCs w:val="20"/>
                <w:u w:val="none"/>
              </w:rPr>
            </w:pPr>
          </w:p>
        </w:tc>
        <w:tc>
          <w:tcPr>
            <w:tcW w:w="285" w:type="pct"/>
            <w:tcBorders>
              <w:top w:val="nil"/>
              <w:left w:val="nil"/>
              <w:bottom w:val="nil"/>
              <w:right w:val="nil"/>
            </w:tcBorders>
            <w:shd w:val="clear" w:color="auto" w:fill="auto"/>
            <w:noWrap/>
            <w:vAlign w:val="center"/>
          </w:tcPr>
          <w:p w14:paraId="1A099452">
            <w:pPr>
              <w:rPr>
                <w:rFonts w:hint="eastAsia" w:ascii="宋体" w:hAnsi="宋体" w:eastAsia="宋体" w:cs="宋体"/>
                <w:i w:val="0"/>
                <w:iCs w:val="0"/>
                <w:color w:val="000000"/>
                <w:sz w:val="22"/>
                <w:szCs w:val="22"/>
                <w:u w:val="none"/>
              </w:rPr>
            </w:pPr>
          </w:p>
        </w:tc>
        <w:tc>
          <w:tcPr>
            <w:tcW w:w="233" w:type="pct"/>
            <w:tcBorders>
              <w:top w:val="nil"/>
              <w:left w:val="nil"/>
              <w:bottom w:val="nil"/>
              <w:right w:val="nil"/>
            </w:tcBorders>
            <w:shd w:val="clear" w:color="auto" w:fill="auto"/>
            <w:noWrap/>
            <w:vAlign w:val="center"/>
          </w:tcPr>
          <w:p w14:paraId="1FCF7D9F">
            <w:pPr>
              <w:rPr>
                <w:rFonts w:hint="eastAsia" w:ascii="宋体" w:hAnsi="宋体" w:eastAsia="宋体" w:cs="宋体"/>
                <w:i w:val="0"/>
                <w:iCs w:val="0"/>
                <w:color w:val="000000"/>
                <w:sz w:val="22"/>
                <w:szCs w:val="22"/>
                <w:u w:val="none"/>
              </w:rPr>
            </w:pPr>
          </w:p>
        </w:tc>
        <w:tc>
          <w:tcPr>
            <w:tcW w:w="814" w:type="pct"/>
            <w:tcBorders>
              <w:top w:val="nil"/>
              <w:left w:val="nil"/>
              <w:bottom w:val="nil"/>
              <w:right w:val="nil"/>
            </w:tcBorders>
            <w:shd w:val="clear" w:color="auto" w:fill="auto"/>
            <w:noWrap/>
            <w:vAlign w:val="center"/>
          </w:tcPr>
          <w:p w14:paraId="37F0655F">
            <w:pPr>
              <w:rPr>
                <w:rFonts w:hint="eastAsia" w:ascii="宋体" w:hAnsi="宋体" w:eastAsia="宋体" w:cs="宋体"/>
                <w:i w:val="0"/>
                <w:iCs w:val="0"/>
                <w:color w:val="000000"/>
                <w:sz w:val="22"/>
                <w:szCs w:val="22"/>
                <w:u w:val="none"/>
              </w:rPr>
            </w:pPr>
          </w:p>
        </w:tc>
      </w:tr>
      <w:tr w14:paraId="368EF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BC804AB">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2FFCC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59D14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2BBAB7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51098123T000007812024</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市本级财政衔接推进乡村振兴资金（建档立卡学生免课后服务）</w:t>
            </w:r>
          </w:p>
        </w:tc>
      </w:tr>
      <w:tr w14:paraId="45B5B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A0B76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20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EDD77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射洪市教育和体育局部门</w:t>
            </w:r>
          </w:p>
        </w:tc>
        <w:tc>
          <w:tcPr>
            <w:tcW w:w="497" w:type="pct"/>
            <w:tcBorders>
              <w:top w:val="nil"/>
              <w:left w:val="nil"/>
              <w:bottom w:val="nil"/>
              <w:right w:val="nil"/>
            </w:tcBorders>
            <w:shd w:val="clear" w:color="auto" w:fill="auto"/>
            <w:vAlign w:val="center"/>
          </w:tcPr>
          <w:p w14:paraId="402281C3">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3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4682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射洪市武安镇文聚学校</w:t>
            </w:r>
          </w:p>
        </w:tc>
      </w:tr>
      <w:tr w14:paraId="31AE0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2E2E9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0678D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20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1DC5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83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ED9322">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A00F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9B94B">
            <w:pPr>
              <w:rPr>
                <w:rFonts w:hint="eastAsia" w:ascii="宋体" w:hAnsi="宋体" w:eastAsia="宋体" w:cs="宋体"/>
                <w:i w:val="0"/>
                <w:iCs w:val="0"/>
                <w:color w:val="000000"/>
                <w:sz w:val="18"/>
                <w:szCs w:val="18"/>
                <w:u w:val="none"/>
              </w:rPr>
            </w:pPr>
          </w:p>
        </w:tc>
        <w:tc>
          <w:tcPr>
            <w:tcW w:w="6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DAA992">
            <w:pPr>
              <w:rPr>
                <w:rFonts w:hint="eastAsia" w:ascii="宋体" w:hAnsi="宋体" w:eastAsia="宋体" w:cs="宋体"/>
                <w:i w:val="0"/>
                <w:iCs w:val="0"/>
                <w:color w:val="000000"/>
                <w:sz w:val="18"/>
                <w:szCs w:val="18"/>
                <w:u w:val="none"/>
              </w:rPr>
            </w:pPr>
          </w:p>
        </w:tc>
        <w:tc>
          <w:tcPr>
            <w:tcW w:w="220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C04D13">
            <w:pP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2023年度完成</w:t>
            </w:r>
            <w:r>
              <w:rPr>
                <w:rFonts w:ascii="宋体" w:hAnsi="宋体" w:eastAsia="宋体" w:cs="宋体"/>
                <w:i w:val="0"/>
                <w:iCs w:val="0"/>
                <w:color w:val="000000"/>
                <w:kern w:val="0"/>
                <w:sz w:val="18"/>
                <w:szCs w:val="18"/>
                <w:u w:val="none"/>
                <w:lang w:val="en-US" w:eastAsia="zh-CN" w:bidi="ar"/>
              </w:rPr>
              <w:t>建档立卡学生免课后服务</w:t>
            </w:r>
            <w:r>
              <w:rPr>
                <w:rFonts w:hint="eastAsia" w:ascii="宋体" w:hAnsi="宋体" w:cs="宋体"/>
                <w:i w:val="0"/>
                <w:iCs w:val="0"/>
                <w:color w:val="000000"/>
                <w:kern w:val="0"/>
                <w:sz w:val="18"/>
                <w:szCs w:val="18"/>
                <w:u w:val="none"/>
                <w:lang w:val="en-US" w:eastAsia="zh-CN" w:bidi="ar"/>
              </w:rPr>
              <w:t>补助工作。</w:t>
            </w:r>
          </w:p>
        </w:tc>
        <w:tc>
          <w:tcPr>
            <w:tcW w:w="183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B9AFC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宋体" w:hAnsi="宋体" w:cs="宋体"/>
                <w:i w:val="0"/>
                <w:iCs w:val="0"/>
                <w:color w:val="000000"/>
                <w:sz w:val="18"/>
                <w:szCs w:val="18"/>
                <w:u w:val="none"/>
                <w:lang w:val="en-US" w:eastAsia="zh-CN"/>
              </w:rPr>
              <w:t>2023年度完成</w:t>
            </w:r>
            <w:r>
              <w:rPr>
                <w:rFonts w:ascii="宋体" w:hAnsi="宋体" w:eastAsia="宋体" w:cs="宋体"/>
                <w:i w:val="0"/>
                <w:iCs w:val="0"/>
                <w:color w:val="000000"/>
                <w:kern w:val="0"/>
                <w:sz w:val="18"/>
                <w:szCs w:val="18"/>
                <w:u w:val="none"/>
                <w:lang w:val="en-US" w:eastAsia="zh-CN" w:bidi="ar"/>
              </w:rPr>
              <w:t>建档立卡学生免课后服务</w:t>
            </w:r>
            <w:r>
              <w:rPr>
                <w:rFonts w:hint="eastAsia" w:ascii="宋体" w:hAnsi="宋体" w:cs="宋体"/>
                <w:i w:val="0"/>
                <w:iCs w:val="0"/>
                <w:color w:val="000000"/>
                <w:kern w:val="0"/>
                <w:sz w:val="18"/>
                <w:szCs w:val="18"/>
                <w:u w:val="none"/>
                <w:lang w:val="en-US" w:eastAsia="zh-CN" w:bidi="ar"/>
              </w:rPr>
              <w:t>补助工作。</w:t>
            </w:r>
          </w:p>
        </w:tc>
      </w:tr>
      <w:tr w14:paraId="400B0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1E946">
            <w:pPr>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A44A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E23D2A6">
            <w:pPr>
              <w:rPr>
                <w:rFonts w:hint="eastAsia" w:ascii="宋体" w:hAnsi="宋体" w:eastAsia="宋体" w:cs="宋体"/>
                <w:i w:val="0"/>
                <w:iCs w:val="0"/>
                <w:color w:val="000000"/>
                <w:sz w:val="18"/>
                <w:szCs w:val="18"/>
                <w:u w:val="none"/>
              </w:rPr>
            </w:pPr>
          </w:p>
        </w:tc>
      </w:tr>
      <w:tr w14:paraId="00381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4BF9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87F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14E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DFB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76E4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BD2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02C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A76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15D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D3E3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AAA4B">
            <w:pPr>
              <w:jc w:val="center"/>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E0A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B4D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F93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C8FF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175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83F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529E4">
            <w:pPr>
              <w:jc w:val="center"/>
              <w:rPr>
                <w:rFonts w:hint="eastAsia" w:ascii="宋体" w:hAnsi="宋体" w:eastAsia="宋体" w:cs="宋体"/>
                <w:i w:val="0"/>
                <w:iCs w:val="0"/>
                <w:color w:val="000000"/>
                <w:sz w:val="18"/>
                <w:szCs w:val="18"/>
                <w:u w:val="none"/>
              </w:rPr>
            </w:pPr>
          </w:p>
        </w:tc>
        <w:tc>
          <w:tcPr>
            <w:tcW w:w="8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9943EE">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C8B0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6120B">
            <w:pPr>
              <w:jc w:val="center"/>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D40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814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AA8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BCA2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E12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A21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9C6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29F90">
            <w:pPr>
              <w:rPr>
                <w:rFonts w:hint="eastAsia" w:ascii="黑体" w:hAnsi="黑体" w:eastAsia="黑体" w:cs="黑体"/>
                <w:i/>
                <w:iCs/>
                <w:color w:val="000000"/>
                <w:sz w:val="18"/>
                <w:szCs w:val="18"/>
                <w:u w:val="none"/>
              </w:rPr>
            </w:pPr>
          </w:p>
        </w:tc>
      </w:tr>
      <w:tr w14:paraId="7857B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E2106">
            <w:pPr>
              <w:jc w:val="center"/>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E70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692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CCD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B23E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DC3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E70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F3F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66018">
            <w:pPr>
              <w:rPr>
                <w:rFonts w:hint="eastAsia" w:ascii="黑体" w:hAnsi="黑体" w:eastAsia="黑体" w:cs="黑体"/>
                <w:i/>
                <w:iCs/>
                <w:color w:val="000000"/>
                <w:sz w:val="18"/>
                <w:szCs w:val="18"/>
                <w:u w:val="none"/>
              </w:rPr>
            </w:pPr>
          </w:p>
        </w:tc>
      </w:tr>
      <w:tr w14:paraId="046F9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C0F3D">
            <w:pPr>
              <w:jc w:val="center"/>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747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889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5AB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8D66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5BD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197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D13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EB6BD">
            <w:pPr>
              <w:rPr>
                <w:rFonts w:hint="eastAsia" w:ascii="黑体" w:hAnsi="黑体" w:eastAsia="黑体" w:cs="黑体"/>
                <w:i/>
                <w:iCs/>
                <w:color w:val="000000"/>
                <w:sz w:val="18"/>
                <w:szCs w:val="18"/>
                <w:u w:val="none"/>
              </w:rPr>
            </w:pPr>
          </w:p>
        </w:tc>
      </w:tr>
      <w:tr w14:paraId="1242A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F412E">
            <w:pPr>
              <w:jc w:val="center"/>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402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2C4EE">
            <w:pPr>
              <w:jc w:val="center"/>
              <w:rPr>
                <w:rFonts w:hint="eastAsia" w:ascii="微软雅黑" w:hAnsi="微软雅黑" w:eastAsia="微软雅黑" w:cs="微软雅黑"/>
                <w:i/>
                <w:iCs/>
                <w:color w:val="000000"/>
                <w:sz w:val="16"/>
                <w:szCs w:val="16"/>
                <w:u w:val="none"/>
              </w:rPr>
            </w:pP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1CBB8">
            <w:pPr>
              <w:jc w:val="center"/>
              <w:rPr>
                <w:rFonts w:hint="eastAsia" w:ascii="微软雅黑" w:hAnsi="微软雅黑" w:eastAsia="微软雅黑" w:cs="微软雅黑"/>
                <w:i/>
                <w:iCs/>
                <w:color w:val="000000"/>
                <w:sz w:val="16"/>
                <w:szCs w:val="16"/>
                <w:u w:val="none"/>
              </w:rPr>
            </w:pP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B912D7">
            <w:pPr>
              <w:jc w:val="center"/>
              <w:rPr>
                <w:rFonts w:hint="eastAsia" w:ascii="微软雅黑" w:hAnsi="微软雅黑" w:eastAsia="微软雅黑" w:cs="微软雅黑"/>
                <w:i/>
                <w:iCs/>
                <w:color w:val="000000"/>
                <w:sz w:val="16"/>
                <w:szCs w:val="16"/>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E6F3E">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C89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7CD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C2932">
            <w:pPr>
              <w:rPr>
                <w:rFonts w:hint="eastAsia" w:ascii="黑体" w:hAnsi="黑体" w:eastAsia="黑体" w:cs="黑体"/>
                <w:i/>
                <w:iCs/>
                <w:color w:val="000000"/>
                <w:sz w:val="18"/>
                <w:szCs w:val="18"/>
                <w:u w:val="none"/>
              </w:rPr>
            </w:pPr>
          </w:p>
        </w:tc>
      </w:tr>
      <w:tr w14:paraId="4854B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87BF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49B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149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F30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A22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F0B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EBF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069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749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941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145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98EB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89911">
            <w:pPr>
              <w:jc w:val="center"/>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997CA">
            <w:pPr>
              <w:jc w:val="center"/>
              <w:rPr>
                <w:rFonts w:hint="eastAsia" w:ascii="宋体" w:hAnsi="宋体" w:eastAsia="宋体" w:cs="宋体"/>
                <w:i w:val="0"/>
                <w:iCs w:val="0"/>
                <w:color w:val="000000"/>
                <w:sz w:val="18"/>
                <w:szCs w:val="18"/>
                <w:u w:val="none"/>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8B263">
            <w:pPr>
              <w:jc w:val="center"/>
              <w:rPr>
                <w:rFonts w:hint="eastAsia" w:ascii="宋体" w:hAnsi="宋体" w:eastAsia="宋体" w:cs="宋体"/>
                <w:i w:val="0"/>
                <w:iCs w:val="0"/>
                <w:color w:val="000000"/>
                <w:sz w:val="18"/>
                <w:szCs w:val="18"/>
                <w:u w:val="none"/>
              </w:rPr>
            </w:pP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A3E7B">
            <w:pPr>
              <w:jc w:val="center"/>
              <w:rPr>
                <w:rFonts w:hint="eastAsia" w:ascii="宋体" w:hAnsi="宋体" w:eastAsia="宋体" w:cs="宋体"/>
                <w:i w:val="0"/>
                <w:iCs w:val="0"/>
                <w:color w:val="000000"/>
                <w:sz w:val="18"/>
                <w:szCs w:val="18"/>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344B6">
            <w:pPr>
              <w:jc w:val="center"/>
              <w:rPr>
                <w:rFonts w:hint="eastAsia" w:ascii="宋体" w:hAnsi="宋体" w:eastAsia="宋体" w:cs="宋体"/>
                <w:i w:val="0"/>
                <w:iCs w:val="0"/>
                <w:color w:val="000000"/>
                <w:sz w:val="18"/>
                <w:szCs w:val="18"/>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5441E">
            <w:pPr>
              <w:jc w:val="center"/>
              <w:rPr>
                <w:rFonts w:hint="eastAsia" w:ascii="宋体" w:hAnsi="宋体" w:eastAsia="宋体" w:cs="宋体"/>
                <w:i w:val="0"/>
                <w:iCs w:val="0"/>
                <w:color w:val="000000"/>
                <w:sz w:val="18"/>
                <w:szCs w:val="18"/>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F6326">
            <w:pPr>
              <w:jc w:val="center"/>
              <w:rPr>
                <w:rFonts w:hint="eastAsia" w:ascii="宋体" w:hAnsi="宋体" w:eastAsia="宋体" w:cs="宋体"/>
                <w:i w:val="0"/>
                <w:iCs w:val="0"/>
                <w:color w:val="000000"/>
                <w:sz w:val="18"/>
                <w:szCs w:val="18"/>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035B7">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205A7">
            <w:pPr>
              <w:jc w:val="center"/>
              <w:rPr>
                <w:rFonts w:hint="eastAsia" w:ascii="宋体" w:hAnsi="宋体" w:eastAsia="宋体" w:cs="宋体"/>
                <w:i w:val="0"/>
                <w:iCs w:val="0"/>
                <w:color w:val="000000"/>
                <w:sz w:val="18"/>
                <w:szCs w:val="18"/>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0AC16">
            <w:pPr>
              <w:jc w:val="center"/>
              <w:rPr>
                <w:rFonts w:hint="eastAsia" w:ascii="宋体" w:hAnsi="宋体" w:eastAsia="宋体" w:cs="宋体"/>
                <w:i w:val="0"/>
                <w:iCs w:val="0"/>
                <w:color w:val="000000"/>
                <w:sz w:val="18"/>
                <w:szCs w:val="18"/>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949C7">
            <w:pPr>
              <w:jc w:val="center"/>
              <w:rPr>
                <w:rFonts w:hint="eastAsia" w:ascii="微软雅黑" w:hAnsi="微软雅黑" w:eastAsia="微软雅黑" w:cs="微软雅黑"/>
                <w:i/>
                <w:iCs/>
                <w:color w:val="000000"/>
                <w:sz w:val="16"/>
                <w:szCs w:val="16"/>
                <w:u w:val="none"/>
              </w:rPr>
            </w:pPr>
          </w:p>
        </w:tc>
      </w:tr>
      <w:tr w14:paraId="1359C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6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12EB7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A15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EF0E7">
            <w:pPr>
              <w:rPr>
                <w:rFonts w:hint="eastAsia" w:ascii="宋体" w:hAnsi="宋体" w:eastAsia="宋体" w:cs="宋体"/>
                <w:i w:val="0"/>
                <w:iCs w:val="0"/>
                <w:color w:val="000000"/>
                <w:sz w:val="18"/>
                <w:szCs w:val="18"/>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1BAD6">
            <w:pPr>
              <w:rPr>
                <w:rFonts w:hint="eastAsia" w:ascii="宋体" w:hAnsi="宋体" w:eastAsia="宋体" w:cs="宋体"/>
                <w:i w:val="0"/>
                <w:iCs w:val="0"/>
                <w:color w:val="000000"/>
                <w:sz w:val="18"/>
                <w:szCs w:val="18"/>
                <w:u w:val="none"/>
              </w:rPr>
            </w:pPr>
          </w:p>
        </w:tc>
      </w:tr>
      <w:tr w14:paraId="76D67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604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6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504D9AA">
            <w:pPr>
              <w:keepNext w:val="0"/>
              <w:keepLines w:val="0"/>
              <w:widowControl/>
              <w:suppressLineNumbers w:val="0"/>
              <w:jc w:val="left"/>
              <w:textAlignment w:val="center"/>
              <w:rPr>
                <w:rFonts w:hint="eastAsia" w:ascii="微软雅黑" w:hAnsi="微软雅黑" w:eastAsia="微软雅黑" w:cs="微软雅黑"/>
                <w:i/>
                <w:iCs/>
                <w:color w:val="000000"/>
                <w:kern w:val="2"/>
                <w:sz w:val="16"/>
                <w:szCs w:val="16"/>
                <w:u w:val="none"/>
                <w:lang w:val="en-US" w:eastAsia="zh-CN" w:bidi="ar-SA"/>
              </w:rPr>
            </w:pPr>
            <w:r>
              <w:rPr>
                <w:rFonts w:hint="eastAsia" w:ascii="宋体" w:hAnsi="宋体" w:cs="宋体"/>
                <w:i w:val="0"/>
                <w:iCs w:val="0"/>
                <w:color w:val="000000"/>
                <w:kern w:val="0"/>
                <w:sz w:val="18"/>
                <w:szCs w:val="18"/>
                <w:u w:val="none"/>
                <w:lang w:val="en-US" w:eastAsia="zh-CN" w:bidi="ar"/>
              </w:rPr>
              <w:t>本项目预算执行率100%，本项目的经费严格按照资金管理使用办法支出的范围使用。统一核算，按照项目计划安排和实际工作情况开支，做到了专款专用。</w:t>
            </w:r>
          </w:p>
        </w:tc>
      </w:tr>
      <w:tr w14:paraId="39DB7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AA5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6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5B51612">
            <w:pPr>
              <w:keepNext w:val="0"/>
              <w:keepLines w:val="0"/>
              <w:widowControl/>
              <w:suppressLineNumbers w:val="0"/>
              <w:jc w:val="left"/>
              <w:textAlignment w:val="center"/>
              <w:rPr>
                <w:rFonts w:hint="eastAsia" w:ascii="微软雅黑" w:hAnsi="微软雅黑" w:eastAsia="微软雅黑" w:cs="微软雅黑"/>
                <w:i/>
                <w:iCs/>
                <w:color w:val="000000"/>
                <w:kern w:val="2"/>
                <w:sz w:val="16"/>
                <w:szCs w:val="16"/>
                <w:u w:val="none"/>
                <w:lang w:val="en-US" w:eastAsia="zh-CN" w:bidi="ar-SA"/>
              </w:rPr>
            </w:pPr>
            <w:r>
              <w:rPr>
                <w:rFonts w:hint="eastAsia" w:ascii="宋体" w:hAnsi="宋体" w:eastAsia="宋体" w:cs="宋体"/>
                <w:i w:val="0"/>
                <w:iCs w:val="0"/>
                <w:color w:val="000000"/>
                <w:kern w:val="0"/>
                <w:sz w:val="18"/>
                <w:szCs w:val="18"/>
                <w:u w:val="none"/>
                <w:lang w:val="en-US" w:eastAsia="zh-CN" w:bidi="ar"/>
              </w:rPr>
              <w:t>无</w:t>
            </w:r>
          </w:p>
        </w:tc>
      </w:tr>
      <w:tr w14:paraId="3DC44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582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6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6BDF799">
            <w:pPr>
              <w:keepNext w:val="0"/>
              <w:keepLines w:val="0"/>
              <w:widowControl/>
              <w:suppressLineNumbers w:val="0"/>
              <w:jc w:val="left"/>
              <w:textAlignment w:val="center"/>
              <w:rPr>
                <w:rFonts w:hint="eastAsia" w:ascii="微软雅黑" w:hAnsi="微软雅黑" w:eastAsia="微软雅黑" w:cs="微软雅黑"/>
                <w:i/>
                <w:iCs/>
                <w:color w:val="000000"/>
                <w:kern w:val="2"/>
                <w:sz w:val="16"/>
                <w:szCs w:val="16"/>
                <w:u w:val="none"/>
                <w:lang w:val="en-US" w:eastAsia="zh-CN" w:bidi="ar-SA"/>
              </w:rPr>
            </w:pPr>
            <w:r>
              <w:rPr>
                <w:rFonts w:hint="eastAsia" w:ascii="宋体" w:hAnsi="宋体" w:eastAsia="宋体" w:cs="宋体"/>
                <w:i w:val="0"/>
                <w:iCs w:val="0"/>
                <w:color w:val="000000"/>
                <w:kern w:val="0"/>
                <w:sz w:val="18"/>
                <w:szCs w:val="18"/>
                <w:u w:val="none"/>
                <w:lang w:val="en-US" w:eastAsia="zh-CN" w:bidi="ar"/>
              </w:rPr>
              <w:t>无</w:t>
            </w:r>
          </w:p>
        </w:tc>
      </w:tr>
      <w:tr w14:paraId="390E2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3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6B892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56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89EF35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2FA6A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8" w:type="pct"/>
            <w:tcBorders>
              <w:top w:val="nil"/>
              <w:left w:val="nil"/>
              <w:bottom w:val="nil"/>
              <w:right w:val="nil"/>
            </w:tcBorders>
            <w:shd w:val="clear" w:color="auto" w:fill="auto"/>
            <w:vAlign w:val="center"/>
          </w:tcPr>
          <w:p w14:paraId="128BE390">
            <w:pPr>
              <w:rPr>
                <w:rFonts w:hint="eastAsia" w:ascii="宋体" w:hAnsi="宋体" w:eastAsia="宋体" w:cs="宋体"/>
                <w:i w:val="0"/>
                <w:iCs w:val="0"/>
                <w:color w:val="000000"/>
                <w:sz w:val="18"/>
                <w:szCs w:val="18"/>
                <w:u w:val="none"/>
              </w:rPr>
            </w:pPr>
          </w:p>
        </w:tc>
        <w:tc>
          <w:tcPr>
            <w:tcW w:w="630" w:type="pct"/>
            <w:tcBorders>
              <w:top w:val="nil"/>
              <w:left w:val="nil"/>
              <w:bottom w:val="nil"/>
              <w:right w:val="nil"/>
            </w:tcBorders>
            <w:shd w:val="clear" w:color="auto" w:fill="auto"/>
            <w:vAlign w:val="center"/>
          </w:tcPr>
          <w:p w14:paraId="6505D126">
            <w:pPr>
              <w:rPr>
                <w:rFonts w:hint="eastAsia" w:ascii="宋体" w:hAnsi="宋体" w:eastAsia="宋体" w:cs="宋体"/>
                <w:i w:val="0"/>
                <w:iCs w:val="0"/>
                <w:color w:val="000000"/>
                <w:sz w:val="18"/>
                <w:szCs w:val="18"/>
                <w:u w:val="none"/>
              </w:rPr>
            </w:pPr>
          </w:p>
        </w:tc>
        <w:tc>
          <w:tcPr>
            <w:tcW w:w="531" w:type="pct"/>
            <w:tcBorders>
              <w:top w:val="nil"/>
              <w:left w:val="nil"/>
              <w:bottom w:val="nil"/>
              <w:right w:val="nil"/>
            </w:tcBorders>
            <w:shd w:val="clear" w:color="auto" w:fill="auto"/>
            <w:vAlign w:val="center"/>
          </w:tcPr>
          <w:p w14:paraId="1CC6ACDB">
            <w:pPr>
              <w:rPr>
                <w:rFonts w:hint="eastAsia" w:ascii="宋体" w:hAnsi="宋体" w:eastAsia="宋体" w:cs="宋体"/>
                <w:i w:val="0"/>
                <w:iCs w:val="0"/>
                <w:color w:val="000000"/>
                <w:sz w:val="18"/>
                <w:szCs w:val="18"/>
                <w:u w:val="none"/>
              </w:rPr>
            </w:pPr>
          </w:p>
        </w:tc>
        <w:tc>
          <w:tcPr>
            <w:tcW w:w="707" w:type="pct"/>
            <w:tcBorders>
              <w:top w:val="nil"/>
              <w:left w:val="nil"/>
              <w:bottom w:val="nil"/>
              <w:right w:val="nil"/>
            </w:tcBorders>
            <w:shd w:val="clear" w:color="auto" w:fill="auto"/>
            <w:vAlign w:val="center"/>
          </w:tcPr>
          <w:p w14:paraId="729B9662">
            <w:pPr>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shd w:val="clear" w:color="auto" w:fill="auto"/>
            <w:vAlign w:val="center"/>
          </w:tcPr>
          <w:p w14:paraId="5D655DD7">
            <w:pPr>
              <w:rPr>
                <w:rFonts w:hint="eastAsia" w:ascii="宋体" w:hAnsi="宋体" w:eastAsia="宋体" w:cs="宋体"/>
                <w:i w:val="0"/>
                <w:iCs w:val="0"/>
                <w:color w:val="000000"/>
                <w:sz w:val="18"/>
                <w:szCs w:val="18"/>
                <w:u w:val="none"/>
              </w:rPr>
            </w:pPr>
          </w:p>
        </w:tc>
        <w:tc>
          <w:tcPr>
            <w:tcW w:w="497" w:type="pct"/>
            <w:tcBorders>
              <w:top w:val="nil"/>
              <w:left w:val="nil"/>
              <w:bottom w:val="nil"/>
              <w:right w:val="nil"/>
            </w:tcBorders>
            <w:shd w:val="clear" w:color="auto" w:fill="auto"/>
            <w:vAlign w:val="center"/>
          </w:tcPr>
          <w:p w14:paraId="2EE7F89A">
            <w:pPr>
              <w:rPr>
                <w:rFonts w:hint="eastAsia" w:ascii="宋体" w:hAnsi="宋体" w:eastAsia="宋体" w:cs="宋体"/>
                <w:i w:val="0"/>
                <w:iCs w:val="0"/>
                <w:color w:val="000000"/>
                <w:sz w:val="18"/>
                <w:szCs w:val="18"/>
                <w:u w:val="none"/>
              </w:rPr>
            </w:pPr>
          </w:p>
        </w:tc>
        <w:tc>
          <w:tcPr>
            <w:tcW w:w="233" w:type="pct"/>
            <w:tcBorders>
              <w:top w:val="nil"/>
              <w:left w:val="nil"/>
              <w:bottom w:val="nil"/>
              <w:right w:val="nil"/>
            </w:tcBorders>
            <w:shd w:val="clear" w:color="auto" w:fill="auto"/>
            <w:vAlign w:val="center"/>
          </w:tcPr>
          <w:p w14:paraId="3E36DF28">
            <w:pPr>
              <w:rPr>
                <w:rFonts w:hint="eastAsia" w:ascii="宋体" w:hAnsi="宋体" w:eastAsia="宋体" w:cs="宋体"/>
                <w:i w:val="0"/>
                <w:iCs w:val="0"/>
                <w:color w:val="000000"/>
                <w:sz w:val="18"/>
                <w:szCs w:val="18"/>
                <w:u w:val="none"/>
              </w:rPr>
            </w:pPr>
          </w:p>
        </w:tc>
        <w:tc>
          <w:tcPr>
            <w:tcW w:w="497" w:type="pct"/>
            <w:tcBorders>
              <w:top w:val="nil"/>
              <w:left w:val="nil"/>
              <w:bottom w:val="nil"/>
              <w:right w:val="nil"/>
            </w:tcBorders>
            <w:shd w:val="clear" w:color="auto" w:fill="auto"/>
            <w:vAlign w:val="center"/>
          </w:tcPr>
          <w:p w14:paraId="1DFF8E77">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14:paraId="0E2EE588">
            <w:pPr>
              <w:rPr>
                <w:rFonts w:hint="eastAsia" w:ascii="宋体" w:hAnsi="宋体" w:eastAsia="宋体" w:cs="宋体"/>
                <w:i w:val="0"/>
                <w:iCs w:val="0"/>
                <w:color w:val="000000"/>
                <w:sz w:val="18"/>
                <w:szCs w:val="18"/>
                <w:u w:val="none"/>
              </w:rPr>
            </w:pPr>
          </w:p>
        </w:tc>
        <w:tc>
          <w:tcPr>
            <w:tcW w:w="233" w:type="pct"/>
            <w:tcBorders>
              <w:top w:val="nil"/>
              <w:left w:val="nil"/>
              <w:bottom w:val="nil"/>
              <w:right w:val="nil"/>
            </w:tcBorders>
            <w:shd w:val="clear" w:color="auto" w:fill="auto"/>
            <w:vAlign w:val="center"/>
          </w:tcPr>
          <w:p w14:paraId="512B7496">
            <w:pPr>
              <w:rPr>
                <w:rFonts w:hint="eastAsia" w:ascii="宋体" w:hAnsi="宋体" w:eastAsia="宋体" w:cs="宋体"/>
                <w:i w:val="0"/>
                <w:iCs w:val="0"/>
                <w:color w:val="000000"/>
                <w:sz w:val="18"/>
                <w:szCs w:val="18"/>
                <w:u w:val="none"/>
              </w:rPr>
            </w:pPr>
          </w:p>
        </w:tc>
        <w:tc>
          <w:tcPr>
            <w:tcW w:w="814" w:type="pct"/>
            <w:tcBorders>
              <w:top w:val="nil"/>
              <w:left w:val="nil"/>
              <w:bottom w:val="nil"/>
              <w:right w:val="nil"/>
            </w:tcBorders>
            <w:shd w:val="clear" w:color="auto" w:fill="auto"/>
            <w:vAlign w:val="center"/>
          </w:tcPr>
          <w:p w14:paraId="36DDA80B">
            <w:pPr>
              <w:rPr>
                <w:rFonts w:hint="eastAsia" w:ascii="宋体" w:hAnsi="宋体" w:eastAsia="宋体" w:cs="宋体"/>
                <w:i w:val="0"/>
                <w:iCs w:val="0"/>
                <w:color w:val="000000"/>
                <w:sz w:val="18"/>
                <w:szCs w:val="18"/>
                <w:u w:val="none"/>
              </w:rPr>
            </w:pPr>
          </w:p>
        </w:tc>
      </w:tr>
      <w:tr w14:paraId="1ED50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1686D19">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5DD28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C88BB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075BDC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51098124Y000010150983-2023年市本级衔接资金—义务教育学校建档立卡学生教辅资料和学平险补助</w:t>
            </w:r>
          </w:p>
        </w:tc>
      </w:tr>
      <w:tr w14:paraId="0EF1B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6FA57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20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1AAF7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射洪市教育和体育局部门</w:t>
            </w:r>
          </w:p>
        </w:tc>
        <w:tc>
          <w:tcPr>
            <w:tcW w:w="497" w:type="pct"/>
            <w:tcBorders>
              <w:top w:val="nil"/>
              <w:left w:val="nil"/>
              <w:bottom w:val="nil"/>
              <w:right w:val="nil"/>
            </w:tcBorders>
            <w:shd w:val="clear" w:color="auto" w:fill="auto"/>
            <w:vAlign w:val="center"/>
          </w:tcPr>
          <w:p w14:paraId="1C7DB4A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3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83E3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射洪市武安镇文聚学校</w:t>
            </w:r>
          </w:p>
        </w:tc>
      </w:tr>
      <w:tr w14:paraId="1C28D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3EC6E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C43EF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20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A5C9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83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BA38CA">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1114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0F43A0">
            <w:pPr>
              <w:rPr>
                <w:rFonts w:hint="eastAsia" w:ascii="宋体" w:hAnsi="宋体" w:eastAsia="宋体" w:cs="宋体"/>
                <w:i w:val="0"/>
                <w:iCs w:val="0"/>
                <w:color w:val="000000"/>
                <w:sz w:val="18"/>
                <w:szCs w:val="18"/>
                <w:u w:val="none"/>
              </w:rPr>
            </w:pPr>
          </w:p>
        </w:tc>
        <w:tc>
          <w:tcPr>
            <w:tcW w:w="6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822D23">
            <w:pPr>
              <w:rPr>
                <w:rFonts w:hint="eastAsia" w:ascii="宋体" w:hAnsi="宋体" w:eastAsia="宋体" w:cs="宋体"/>
                <w:i w:val="0"/>
                <w:iCs w:val="0"/>
                <w:color w:val="000000"/>
                <w:sz w:val="18"/>
                <w:szCs w:val="18"/>
                <w:u w:val="none"/>
              </w:rPr>
            </w:pPr>
          </w:p>
        </w:tc>
        <w:tc>
          <w:tcPr>
            <w:tcW w:w="220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E8F4CF">
            <w:pP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完成2023年度</w:t>
            </w:r>
            <w:r>
              <w:rPr>
                <w:rFonts w:ascii="宋体" w:hAnsi="宋体" w:eastAsia="宋体" w:cs="宋体"/>
                <w:i w:val="0"/>
                <w:iCs w:val="0"/>
                <w:color w:val="000000"/>
                <w:kern w:val="0"/>
                <w:sz w:val="18"/>
                <w:szCs w:val="18"/>
                <w:u w:val="none"/>
                <w:lang w:val="en-US" w:eastAsia="zh-CN" w:bidi="ar"/>
              </w:rPr>
              <w:t>义务教育学校建档立卡学生教辅资料和学平险补助</w:t>
            </w:r>
            <w:r>
              <w:rPr>
                <w:rFonts w:hint="eastAsia" w:ascii="宋体" w:hAnsi="宋体" w:cs="宋体"/>
                <w:i w:val="0"/>
                <w:iCs w:val="0"/>
                <w:color w:val="000000"/>
                <w:kern w:val="0"/>
                <w:sz w:val="18"/>
                <w:szCs w:val="18"/>
                <w:u w:val="none"/>
                <w:lang w:val="en-US" w:eastAsia="zh-CN" w:bidi="ar"/>
              </w:rPr>
              <w:t>.</w:t>
            </w:r>
          </w:p>
        </w:tc>
        <w:tc>
          <w:tcPr>
            <w:tcW w:w="183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6FD47A">
            <w:pPr>
              <w:rPr>
                <w:rFonts w:hint="eastAsia" w:ascii="黑体" w:hAnsi="黑体" w:eastAsia="黑体" w:cs="黑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完成2023年度</w:t>
            </w:r>
            <w:r>
              <w:rPr>
                <w:rFonts w:ascii="宋体" w:hAnsi="宋体" w:eastAsia="宋体" w:cs="宋体"/>
                <w:i w:val="0"/>
                <w:iCs w:val="0"/>
                <w:color w:val="000000"/>
                <w:kern w:val="0"/>
                <w:sz w:val="18"/>
                <w:szCs w:val="18"/>
                <w:u w:val="none"/>
                <w:lang w:val="en-US" w:eastAsia="zh-CN" w:bidi="ar"/>
              </w:rPr>
              <w:t>义务教育学校建档立卡学生教辅资料和学平险补助</w:t>
            </w:r>
            <w:r>
              <w:rPr>
                <w:rFonts w:hint="eastAsia" w:ascii="宋体" w:hAnsi="宋体" w:cs="宋体"/>
                <w:i w:val="0"/>
                <w:iCs w:val="0"/>
                <w:color w:val="000000"/>
                <w:kern w:val="0"/>
                <w:sz w:val="18"/>
                <w:szCs w:val="18"/>
                <w:u w:val="none"/>
                <w:lang w:val="en-US" w:eastAsia="zh-CN" w:bidi="ar"/>
              </w:rPr>
              <w:t>.</w:t>
            </w:r>
          </w:p>
        </w:tc>
      </w:tr>
      <w:tr w14:paraId="0771E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0265C">
            <w:pPr>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9941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0F5DAAC">
            <w:pPr>
              <w:rPr>
                <w:rFonts w:hint="eastAsia" w:ascii="宋体" w:hAnsi="宋体" w:eastAsia="宋体" w:cs="宋体"/>
                <w:i w:val="0"/>
                <w:iCs w:val="0"/>
                <w:color w:val="000000"/>
                <w:sz w:val="18"/>
                <w:szCs w:val="18"/>
                <w:u w:val="none"/>
              </w:rPr>
            </w:pPr>
          </w:p>
        </w:tc>
      </w:tr>
      <w:tr w14:paraId="100AF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E2DA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2CD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857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712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5506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D2F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1AD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33B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A91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5A74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8D830">
            <w:pPr>
              <w:jc w:val="center"/>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05E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5C3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105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0.83</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07EC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0.83</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9DE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515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AFA28">
            <w:pPr>
              <w:jc w:val="center"/>
              <w:rPr>
                <w:rFonts w:hint="eastAsia" w:ascii="宋体" w:hAnsi="宋体" w:eastAsia="宋体" w:cs="宋体"/>
                <w:i w:val="0"/>
                <w:iCs w:val="0"/>
                <w:color w:val="000000"/>
                <w:sz w:val="18"/>
                <w:szCs w:val="18"/>
                <w:u w:val="none"/>
              </w:rPr>
            </w:pPr>
          </w:p>
        </w:tc>
        <w:tc>
          <w:tcPr>
            <w:tcW w:w="8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51D212">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86F5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F6780">
            <w:pPr>
              <w:jc w:val="center"/>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C07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B12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B1B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0.83</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04D2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0.83</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D88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C88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916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29EFE">
            <w:pPr>
              <w:rPr>
                <w:rFonts w:hint="eastAsia" w:ascii="黑体" w:hAnsi="黑体" w:eastAsia="黑体" w:cs="黑体"/>
                <w:i/>
                <w:iCs/>
                <w:color w:val="000000"/>
                <w:sz w:val="18"/>
                <w:szCs w:val="18"/>
                <w:u w:val="none"/>
              </w:rPr>
            </w:pPr>
          </w:p>
        </w:tc>
      </w:tr>
      <w:tr w14:paraId="4236B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4BA60E">
            <w:pPr>
              <w:jc w:val="center"/>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DAD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7A5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021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23A6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AE3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174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4B4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28C45">
            <w:pPr>
              <w:rPr>
                <w:rFonts w:hint="eastAsia" w:ascii="黑体" w:hAnsi="黑体" w:eastAsia="黑体" w:cs="黑体"/>
                <w:i/>
                <w:iCs/>
                <w:color w:val="000000"/>
                <w:sz w:val="18"/>
                <w:szCs w:val="18"/>
                <w:u w:val="none"/>
              </w:rPr>
            </w:pPr>
          </w:p>
        </w:tc>
      </w:tr>
      <w:tr w14:paraId="121B4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E1D5E">
            <w:pPr>
              <w:jc w:val="center"/>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67D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86E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7C2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6F2C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4ED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EEE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9C4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F4A08">
            <w:pPr>
              <w:rPr>
                <w:rFonts w:hint="eastAsia" w:ascii="黑体" w:hAnsi="黑体" w:eastAsia="黑体" w:cs="黑体"/>
                <w:i/>
                <w:iCs/>
                <w:color w:val="000000"/>
                <w:sz w:val="18"/>
                <w:szCs w:val="18"/>
                <w:u w:val="none"/>
              </w:rPr>
            </w:pPr>
          </w:p>
        </w:tc>
      </w:tr>
      <w:tr w14:paraId="5A378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75634">
            <w:pPr>
              <w:jc w:val="center"/>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0FA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FCCAE">
            <w:pPr>
              <w:jc w:val="center"/>
              <w:rPr>
                <w:rFonts w:hint="eastAsia" w:ascii="微软雅黑" w:hAnsi="微软雅黑" w:eastAsia="微软雅黑" w:cs="微软雅黑"/>
                <w:i/>
                <w:iCs/>
                <w:color w:val="000000"/>
                <w:sz w:val="16"/>
                <w:szCs w:val="16"/>
                <w:u w:val="none"/>
              </w:rPr>
            </w:pP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FC0E5">
            <w:pPr>
              <w:jc w:val="center"/>
              <w:rPr>
                <w:rFonts w:hint="eastAsia" w:ascii="微软雅黑" w:hAnsi="微软雅黑" w:eastAsia="微软雅黑" w:cs="微软雅黑"/>
                <w:i/>
                <w:iCs/>
                <w:color w:val="000000"/>
                <w:sz w:val="16"/>
                <w:szCs w:val="16"/>
                <w:u w:val="none"/>
              </w:rPr>
            </w:pP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52F56F">
            <w:pPr>
              <w:jc w:val="center"/>
              <w:rPr>
                <w:rFonts w:hint="eastAsia" w:ascii="微软雅黑" w:hAnsi="微软雅黑" w:eastAsia="微软雅黑" w:cs="微软雅黑"/>
                <w:i/>
                <w:iCs/>
                <w:color w:val="000000"/>
                <w:sz w:val="16"/>
                <w:szCs w:val="16"/>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60089">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FC0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3DB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9D2B98">
            <w:pPr>
              <w:rPr>
                <w:rFonts w:hint="eastAsia" w:ascii="黑体" w:hAnsi="黑体" w:eastAsia="黑体" w:cs="黑体"/>
                <w:i/>
                <w:iCs/>
                <w:color w:val="000000"/>
                <w:sz w:val="18"/>
                <w:szCs w:val="18"/>
                <w:u w:val="none"/>
              </w:rPr>
            </w:pPr>
          </w:p>
        </w:tc>
      </w:tr>
      <w:tr w14:paraId="2CA69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0854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F25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C08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10B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45D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9D9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D06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9CF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CF8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290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637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4AB9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E709F">
            <w:pPr>
              <w:jc w:val="center"/>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A31D2">
            <w:pPr>
              <w:jc w:val="center"/>
              <w:rPr>
                <w:rFonts w:hint="eastAsia" w:ascii="宋体" w:hAnsi="宋体" w:eastAsia="宋体" w:cs="宋体"/>
                <w:i w:val="0"/>
                <w:iCs w:val="0"/>
                <w:color w:val="000000"/>
                <w:sz w:val="18"/>
                <w:szCs w:val="18"/>
                <w:u w:val="none"/>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83774">
            <w:pPr>
              <w:jc w:val="center"/>
              <w:rPr>
                <w:rFonts w:hint="eastAsia" w:ascii="宋体" w:hAnsi="宋体" w:eastAsia="宋体" w:cs="宋体"/>
                <w:i w:val="0"/>
                <w:iCs w:val="0"/>
                <w:color w:val="000000"/>
                <w:sz w:val="18"/>
                <w:szCs w:val="18"/>
                <w:u w:val="none"/>
              </w:rPr>
            </w:pP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13BE3">
            <w:pPr>
              <w:jc w:val="center"/>
              <w:rPr>
                <w:rFonts w:hint="eastAsia" w:ascii="宋体" w:hAnsi="宋体" w:eastAsia="宋体" w:cs="宋体"/>
                <w:i w:val="0"/>
                <w:iCs w:val="0"/>
                <w:color w:val="000000"/>
                <w:sz w:val="18"/>
                <w:szCs w:val="18"/>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7D12A">
            <w:pPr>
              <w:jc w:val="center"/>
              <w:rPr>
                <w:rFonts w:hint="eastAsia" w:ascii="宋体" w:hAnsi="宋体" w:eastAsia="宋体" w:cs="宋体"/>
                <w:i w:val="0"/>
                <w:iCs w:val="0"/>
                <w:color w:val="000000"/>
                <w:sz w:val="18"/>
                <w:szCs w:val="18"/>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E2F32">
            <w:pPr>
              <w:jc w:val="center"/>
              <w:rPr>
                <w:rFonts w:hint="eastAsia" w:ascii="宋体" w:hAnsi="宋体" w:eastAsia="宋体" w:cs="宋体"/>
                <w:i w:val="0"/>
                <w:iCs w:val="0"/>
                <w:color w:val="000000"/>
                <w:sz w:val="18"/>
                <w:szCs w:val="18"/>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A4836">
            <w:pPr>
              <w:jc w:val="center"/>
              <w:rPr>
                <w:rFonts w:hint="eastAsia" w:ascii="宋体" w:hAnsi="宋体" w:eastAsia="宋体" w:cs="宋体"/>
                <w:i w:val="0"/>
                <w:iCs w:val="0"/>
                <w:color w:val="000000"/>
                <w:sz w:val="18"/>
                <w:szCs w:val="18"/>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E0638">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93614">
            <w:pPr>
              <w:jc w:val="center"/>
              <w:rPr>
                <w:rFonts w:hint="eastAsia" w:ascii="宋体" w:hAnsi="宋体" w:eastAsia="宋体" w:cs="宋体"/>
                <w:i w:val="0"/>
                <w:iCs w:val="0"/>
                <w:color w:val="000000"/>
                <w:sz w:val="18"/>
                <w:szCs w:val="18"/>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70DC7">
            <w:pPr>
              <w:jc w:val="center"/>
              <w:rPr>
                <w:rFonts w:hint="eastAsia" w:ascii="宋体" w:hAnsi="宋体" w:eastAsia="宋体" w:cs="宋体"/>
                <w:i w:val="0"/>
                <w:iCs w:val="0"/>
                <w:color w:val="000000"/>
                <w:sz w:val="18"/>
                <w:szCs w:val="18"/>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57B87">
            <w:pPr>
              <w:jc w:val="center"/>
              <w:rPr>
                <w:rFonts w:hint="eastAsia" w:ascii="微软雅黑" w:hAnsi="微软雅黑" w:eastAsia="微软雅黑" w:cs="微软雅黑"/>
                <w:i/>
                <w:iCs/>
                <w:color w:val="000000"/>
                <w:sz w:val="16"/>
                <w:szCs w:val="16"/>
                <w:u w:val="none"/>
              </w:rPr>
            </w:pPr>
          </w:p>
        </w:tc>
      </w:tr>
      <w:tr w14:paraId="606ED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6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794EC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C4A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54A7B">
            <w:pPr>
              <w:rPr>
                <w:rFonts w:hint="eastAsia" w:ascii="宋体" w:hAnsi="宋体" w:eastAsia="宋体" w:cs="宋体"/>
                <w:i w:val="0"/>
                <w:iCs w:val="0"/>
                <w:color w:val="000000"/>
                <w:sz w:val="18"/>
                <w:szCs w:val="18"/>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0EAA3">
            <w:pPr>
              <w:rPr>
                <w:rFonts w:hint="eastAsia" w:ascii="宋体" w:hAnsi="宋体" w:eastAsia="宋体" w:cs="宋体"/>
                <w:i w:val="0"/>
                <w:iCs w:val="0"/>
                <w:color w:val="000000"/>
                <w:sz w:val="18"/>
                <w:szCs w:val="18"/>
                <w:u w:val="none"/>
              </w:rPr>
            </w:pPr>
          </w:p>
        </w:tc>
      </w:tr>
      <w:tr w14:paraId="6AEA4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817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6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388B806">
            <w:pPr>
              <w:keepNext w:val="0"/>
              <w:keepLines w:val="0"/>
              <w:widowControl/>
              <w:suppressLineNumbers w:val="0"/>
              <w:jc w:val="left"/>
              <w:textAlignment w:val="center"/>
              <w:rPr>
                <w:rFonts w:hint="eastAsia" w:ascii="微软雅黑" w:hAnsi="微软雅黑" w:eastAsia="微软雅黑" w:cs="微软雅黑"/>
                <w:i/>
                <w:iCs/>
                <w:color w:val="000000"/>
                <w:kern w:val="2"/>
                <w:sz w:val="16"/>
                <w:szCs w:val="16"/>
                <w:u w:val="none"/>
                <w:lang w:val="en-US" w:eastAsia="zh-CN" w:bidi="ar-SA"/>
              </w:rPr>
            </w:pPr>
            <w:r>
              <w:rPr>
                <w:rFonts w:hint="eastAsia" w:ascii="宋体" w:hAnsi="宋体" w:cs="宋体"/>
                <w:i w:val="0"/>
                <w:iCs w:val="0"/>
                <w:color w:val="000000"/>
                <w:kern w:val="0"/>
                <w:sz w:val="18"/>
                <w:szCs w:val="18"/>
                <w:u w:val="none"/>
                <w:lang w:val="en-US" w:eastAsia="zh-CN" w:bidi="ar"/>
              </w:rPr>
              <w:t>本项目预算执行率100%，本项目的经费严格按照资金管理使用办法支出的范围使用。统一核算，按照项目计划安排和实际工作情况开支，做到了专款专用。</w:t>
            </w:r>
          </w:p>
        </w:tc>
      </w:tr>
      <w:tr w14:paraId="3CA08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B05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6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94F026E">
            <w:pPr>
              <w:keepNext w:val="0"/>
              <w:keepLines w:val="0"/>
              <w:widowControl/>
              <w:suppressLineNumbers w:val="0"/>
              <w:jc w:val="left"/>
              <w:textAlignment w:val="center"/>
              <w:rPr>
                <w:rFonts w:hint="eastAsia" w:ascii="微软雅黑" w:hAnsi="微软雅黑" w:eastAsia="微软雅黑" w:cs="微软雅黑"/>
                <w:i/>
                <w:iCs/>
                <w:color w:val="000000"/>
                <w:kern w:val="2"/>
                <w:sz w:val="16"/>
                <w:szCs w:val="16"/>
                <w:u w:val="none"/>
                <w:lang w:val="en-US" w:eastAsia="zh-CN" w:bidi="ar-SA"/>
              </w:rPr>
            </w:pPr>
            <w:r>
              <w:rPr>
                <w:rFonts w:hint="eastAsia" w:ascii="宋体" w:hAnsi="宋体" w:eastAsia="宋体" w:cs="宋体"/>
                <w:i w:val="0"/>
                <w:iCs w:val="0"/>
                <w:color w:val="000000"/>
                <w:kern w:val="0"/>
                <w:sz w:val="18"/>
                <w:szCs w:val="18"/>
                <w:u w:val="none"/>
                <w:lang w:val="en-US" w:eastAsia="zh-CN" w:bidi="ar"/>
              </w:rPr>
              <w:t>无</w:t>
            </w:r>
          </w:p>
        </w:tc>
      </w:tr>
      <w:tr w14:paraId="76E17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EB6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6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221BC45">
            <w:pPr>
              <w:keepNext w:val="0"/>
              <w:keepLines w:val="0"/>
              <w:widowControl/>
              <w:suppressLineNumbers w:val="0"/>
              <w:jc w:val="left"/>
              <w:textAlignment w:val="center"/>
              <w:rPr>
                <w:rFonts w:hint="eastAsia" w:ascii="微软雅黑" w:hAnsi="微软雅黑" w:eastAsia="微软雅黑" w:cs="微软雅黑"/>
                <w:i/>
                <w:iCs/>
                <w:color w:val="000000"/>
                <w:kern w:val="2"/>
                <w:sz w:val="16"/>
                <w:szCs w:val="16"/>
                <w:u w:val="none"/>
                <w:lang w:val="en-US" w:eastAsia="zh-CN" w:bidi="ar-SA"/>
              </w:rPr>
            </w:pPr>
            <w:r>
              <w:rPr>
                <w:rFonts w:hint="eastAsia" w:ascii="宋体" w:hAnsi="宋体" w:eastAsia="宋体" w:cs="宋体"/>
                <w:i w:val="0"/>
                <w:iCs w:val="0"/>
                <w:color w:val="000000"/>
                <w:kern w:val="0"/>
                <w:sz w:val="18"/>
                <w:szCs w:val="18"/>
                <w:u w:val="none"/>
                <w:lang w:val="en-US" w:eastAsia="zh-CN" w:bidi="ar"/>
              </w:rPr>
              <w:t>无</w:t>
            </w:r>
          </w:p>
        </w:tc>
      </w:tr>
      <w:tr w14:paraId="4A4FE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3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D3E4C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56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39E9A4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2318C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8" w:type="pct"/>
            <w:tcBorders>
              <w:top w:val="nil"/>
              <w:left w:val="nil"/>
              <w:bottom w:val="nil"/>
              <w:right w:val="nil"/>
            </w:tcBorders>
            <w:shd w:val="clear" w:color="auto" w:fill="auto"/>
            <w:vAlign w:val="center"/>
          </w:tcPr>
          <w:p w14:paraId="2D1ED9B5">
            <w:pPr>
              <w:rPr>
                <w:rFonts w:hint="eastAsia" w:ascii="宋体" w:hAnsi="宋体" w:eastAsia="宋体" w:cs="宋体"/>
                <w:i w:val="0"/>
                <w:iCs w:val="0"/>
                <w:color w:val="000000"/>
                <w:sz w:val="18"/>
                <w:szCs w:val="18"/>
                <w:u w:val="none"/>
              </w:rPr>
            </w:pPr>
          </w:p>
        </w:tc>
        <w:tc>
          <w:tcPr>
            <w:tcW w:w="630" w:type="pct"/>
            <w:tcBorders>
              <w:top w:val="nil"/>
              <w:left w:val="nil"/>
              <w:bottom w:val="nil"/>
              <w:right w:val="nil"/>
            </w:tcBorders>
            <w:shd w:val="clear" w:color="auto" w:fill="auto"/>
            <w:vAlign w:val="center"/>
          </w:tcPr>
          <w:p w14:paraId="36D38B9F">
            <w:pPr>
              <w:rPr>
                <w:rFonts w:hint="eastAsia" w:ascii="宋体" w:hAnsi="宋体" w:eastAsia="宋体" w:cs="宋体"/>
                <w:i w:val="0"/>
                <w:iCs w:val="0"/>
                <w:color w:val="000000"/>
                <w:sz w:val="18"/>
                <w:szCs w:val="18"/>
                <w:u w:val="none"/>
              </w:rPr>
            </w:pPr>
          </w:p>
        </w:tc>
        <w:tc>
          <w:tcPr>
            <w:tcW w:w="531" w:type="pct"/>
            <w:tcBorders>
              <w:top w:val="nil"/>
              <w:left w:val="nil"/>
              <w:bottom w:val="nil"/>
              <w:right w:val="nil"/>
            </w:tcBorders>
            <w:shd w:val="clear" w:color="auto" w:fill="auto"/>
            <w:vAlign w:val="center"/>
          </w:tcPr>
          <w:p w14:paraId="273ABBC8">
            <w:pPr>
              <w:rPr>
                <w:rFonts w:hint="eastAsia" w:ascii="宋体" w:hAnsi="宋体" w:eastAsia="宋体" w:cs="宋体"/>
                <w:i w:val="0"/>
                <w:iCs w:val="0"/>
                <w:color w:val="000000"/>
                <w:sz w:val="18"/>
                <w:szCs w:val="18"/>
                <w:u w:val="none"/>
              </w:rPr>
            </w:pPr>
          </w:p>
        </w:tc>
        <w:tc>
          <w:tcPr>
            <w:tcW w:w="707" w:type="pct"/>
            <w:tcBorders>
              <w:top w:val="nil"/>
              <w:left w:val="nil"/>
              <w:bottom w:val="nil"/>
              <w:right w:val="nil"/>
            </w:tcBorders>
            <w:shd w:val="clear" w:color="auto" w:fill="auto"/>
            <w:vAlign w:val="center"/>
          </w:tcPr>
          <w:p w14:paraId="26AE5BFD">
            <w:pPr>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shd w:val="clear" w:color="auto" w:fill="auto"/>
            <w:vAlign w:val="center"/>
          </w:tcPr>
          <w:p w14:paraId="102F7A29">
            <w:pPr>
              <w:rPr>
                <w:rFonts w:hint="eastAsia" w:ascii="宋体" w:hAnsi="宋体" w:eastAsia="宋体" w:cs="宋体"/>
                <w:i w:val="0"/>
                <w:iCs w:val="0"/>
                <w:color w:val="000000"/>
                <w:sz w:val="18"/>
                <w:szCs w:val="18"/>
                <w:u w:val="none"/>
              </w:rPr>
            </w:pPr>
          </w:p>
        </w:tc>
        <w:tc>
          <w:tcPr>
            <w:tcW w:w="497" w:type="pct"/>
            <w:tcBorders>
              <w:top w:val="nil"/>
              <w:left w:val="nil"/>
              <w:bottom w:val="nil"/>
              <w:right w:val="nil"/>
            </w:tcBorders>
            <w:shd w:val="clear" w:color="auto" w:fill="auto"/>
            <w:vAlign w:val="center"/>
          </w:tcPr>
          <w:p w14:paraId="65BFD522">
            <w:pPr>
              <w:rPr>
                <w:rFonts w:hint="eastAsia" w:ascii="宋体" w:hAnsi="宋体" w:eastAsia="宋体" w:cs="宋体"/>
                <w:i w:val="0"/>
                <w:iCs w:val="0"/>
                <w:color w:val="000000"/>
                <w:sz w:val="18"/>
                <w:szCs w:val="18"/>
                <w:u w:val="none"/>
              </w:rPr>
            </w:pPr>
          </w:p>
        </w:tc>
        <w:tc>
          <w:tcPr>
            <w:tcW w:w="233" w:type="pct"/>
            <w:tcBorders>
              <w:top w:val="nil"/>
              <w:left w:val="nil"/>
              <w:bottom w:val="nil"/>
              <w:right w:val="nil"/>
            </w:tcBorders>
            <w:shd w:val="clear" w:color="auto" w:fill="auto"/>
            <w:vAlign w:val="center"/>
          </w:tcPr>
          <w:p w14:paraId="18E2E3ED">
            <w:pPr>
              <w:rPr>
                <w:rFonts w:hint="eastAsia" w:ascii="宋体" w:hAnsi="宋体" w:eastAsia="宋体" w:cs="宋体"/>
                <w:i w:val="0"/>
                <w:iCs w:val="0"/>
                <w:color w:val="000000"/>
                <w:sz w:val="18"/>
                <w:szCs w:val="18"/>
                <w:u w:val="none"/>
              </w:rPr>
            </w:pPr>
          </w:p>
        </w:tc>
        <w:tc>
          <w:tcPr>
            <w:tcW w:w="497" w:type="pct"/>
            <w:tcBorders>
              <w:top w:val="nil"/>
              <w:left w:val="nil"/>
              <w:bottom w:val="nil"/>
              <w:right w:val="nil"/>
            </w:tcBorders>
            <w:shd w:val="clear" w:color="auto" w:fill="auto"/>
            <w:vAlign w:val="center"/>
          </w:tcPr>
          <w:p w14:paraId="043825D7">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14:paraId="5C9751CC">
            <w:pPr>
              <w:rPr>
                <w:rFonts w:hint="eastAsia" w:ascii="宋体" w:hAnsi="宋体" w:eastAsia="宋体" w:cs="宋体"/>
                <w:i w:val="0"/>
                <w:iCs w:val="0"/>
                <w:color w:val="000000"/>
                <w:sz w:val="18"/>
                <w:szCs w:val="18"/>
                <w:u w:val="none"/>
              </w:rPr>
            </w:pPr>
          </w:p>
        </w:tc>
        <w:tc>
          <w:tcPr>
            <w:tcW w:w="233" w:type="pct"/>
            <w:tcBorders>
              <w:top w:val="nil"/>
              <w:left w:val="nil"/>
              <w:bottom w:val="nil"/>
              <w:right w:val="nil"/>
            </w:tcBorders>
            <w:shd w:val="clear" w:color="auto" w:fill="auto"/>
            <w:vAlign w:val="center"/>
          </w:tcPr>
          <w:p w14:paraId="07EC706D">
            <w:pPr>
              <w:rPr>
                <w:rFonts w:hint="eastAsia" w:ascii="宋体" w:hAnsi="宋体" w:eastAsia="宋体" w:cs="宋体"/>
                <w:i w:val="0"/>
                <w:iCs w:val="0"/>
                <w:color w:val="000000"/>
                <w:sz w:val="18"/>
                <w:szCs w:val="18"/>
                <w:u w:val="none"/>
              </w:rPr>
            </w:pPr>
          </w:p>
        </w:tc>
        <w:tc>
          <w:tcPr>
            <w:tcW w:w="814" w:type="pct"/>
            <w:tcBorders>
              <w:top w:val="nil"/>
              <w:left w:val="nil"/>
              <w:bottom w:val="nil"/>
              <w:right w:val="nil"/>
            </w:tcBorders>
            <w:shd w:val="clear" w:color="auto" w:fill="auto"/>
            <w:vAlign w:val="center"/>
          </w:tcPr>
          <w:p w14:paraId="7A13A02B">
            <w:pPr>
              <w:rPr>
                <w:rFonts w:hint="eastAsia" w:ascii="宋体" w:hAnsi="宋体" w:eastAsia="宋体" w:cs="宋体"/>
                <w:i w:val="0"/>
                <w:iCs w:val="0"/>
                <w:color w:val="000000"/>
                <w:sz w:val="18"/>
                <w:szCs w:val="18"/>
                <w:u w:val="none"/>
              </w:rPr>
            </w:pPr>
          </w:p>
        </w:tc>
      </w:tr>
      <w:tr w14:paraId="76FD5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000" w:type="pct"/>
            <w:gridSpan w:val="11"/>
            <w:tcBorders>
              <w:top w:val="nil"/>
              <w:left w:val="nil"/>
              <w:bottom w:val="nil"/>
              <w:right w:val="nil"/>
            </w:tcBorders>
            <w:shd w:val="clear" w:color="auto" w:fill="auto"/>
            <w:vAlign w:val="center"/>
          </w:tcPr>
          <w:p w14:paraId="184A1CA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1、报表说明</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该报表查询项目信息、绩效目标信息、预算及执行情况，用于预算单位查询导出开展项目自评。</w:t>
            </w:r>
          </w:p>
        </w:tc>
      </w:tr>
      <w:tr w14:paraId="5E624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000" w:type="pct"/>
            <w:gridSpan w:val="11"/>
            <w:tcBorders>
              <w:top w:val="nil"/>
              <w:left w:val="nil"/>
              <w:bottom w:val="nil"/>
              <w:right w:val="nil"/>
            </w:tcBorders>
            <w:shd w:val="clear" w:color="auto" w:fill="auto"/>
            <w:vAlign w:val="center"/>
          </w:tcPr>
          <w:p w14:paraId="1D16C1A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2、取数口径：部门项目绩效目标表信息，包括年初预算、追加预算、结转预算和调整预算的绩效目标（以项目的最终绩效目标为准）。</w:t>
            </w:r>
          </w:p>
        </w:tc>
      </w:tr>
      <w:tr w14:paraId="4C50B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000" w:type="pct"/>
            <w:gridSpan w:val="11"/>
            <w:tcBorders>
              <w:top w:val="nil"/>
              <w:left w:val="nil"/>
              <w:bottom w:val="nil"/>
              <w:right w:val="nil"/>
            </w:tcBorders>
            <w:shd w:val="clear" w:color="auto" w:fill="auto"/>
            <w:vAlign w:val="center"/>
          </w:tcPr>
          <w:p w14:paraId="41D044F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适用地区：全省范围</w:t>
            </w:r>
          </w:p>
        </w:tc>
      </w:tr>
      <w:tr w14:paraId="51C76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000" w:type="pct"/>
            <w:gridSpan w:val="11"/>
            <w:tcBorders>
              <w:top w:val="nil"/>
              <w:left w:val="nil"/>
              <w:bottom w:val="nil"/>
              <w:right w:val="nil"/>
            </w:tcBorders>
            <w:shd w:val="clear" w:color="auto" w:fill="auto"/>
            <w:vAlign w:val="center"/>
          </w:tcPr>
          <w:p w14:paraId="4D4F525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适用用户：部门用户、单位用户</w:t>
            </w:r>
          </w:p>
        </w:tc>
      </w:tr>
    </w:tbl>
    <w:p w14:paraId="5F46439B">
      <w:pPr>
        <w:pStyle w:val="6"/>
        <w:spacing w:before="93"/>
        <w:rPr>
          <w:rFonts w:hAnsi="Calibri" w:cs="仿宋"/>
          <w:sz w:val="32"/>
          <w:szCs w:val="32"/>
        </w:rPr>
      </w:pPr>
    </w:p>
    <w:p w14:paraId="7ABB05E7">
      <w:pPr>
        <w:pStyle w:val="6"/>
        <w:spacing w:before="93"/>
        <w:rPr>
          <w:rFonts w:hAnsi="Calibri" w:cs="仿宋"/>
          <w:sz w:val="32"/>
          <w:szCs w:val="32"/>
        </w:rPr>
      </w:pPr>
    </w:p>
    <w:p w14:paraId="696D5E32">
      <w:pPr>
        <w:pStyle w:val="6"/>
        <w:spacing w:before="93"/>
        <w:rPr>
          <w:rFonts w:hAnsi="Calibri" w:cs="仿宋"/>
          <w:sz w:val="32"/>
          <w:szCs w:val="32"/>
        </w:rPr>
      </w:pPr>
    </w:p>
    <w:p w14:paraId="640A9AB8">
      <w:pPr>
        <w:pStyle w:val="6"/>
        <w:spacing w:before="93"/>
        <w:rPr>
          <w:rFonts w:hAnsi="Calibri" w:cs="仿宋"/>
          <w:sz w:val="32"/>
          <w:szCs w:val="32"/>
        </w:rPr>
      </w:pPr>
    </w:p>
    <w:p w14:paraId="5E4C8E0C">
      <w:pPr>
        <w:pStyle w:val="6"/>
        <w:spacing w:before="93"/>
        <w:rPr>
          <w:rFonts w:hAnsi="Calibri" w:cs="仿宋"/>
          <w:sz w:val="32"/>
          <w:szCs w:val="32"/>
        </w:rPr>
      </w:pPr>
    </w:p>
    <w:p w14:paraId="61BD59B0">
      <w:pPr>
        <w:pStyle w:val="6"/>
        <w:spacing w:before="93"/>
        <w:rPr>
          <w:rFonts w:hAnsi="Calibri" w:cs="仿宋"/>
          <w:sz w:val="32"/>
          <w:szCs w:val="32"/>
        </w:rPr>
      </w:pPr>
    </w:p>
    <w:p w14:paraId="6B6F9CAE">
      <w:pPr>
        <w:pStyle w:val="6"/>
        <w:spacing w:before="93"/>
        <w:rPr>
          <w:rFonts w:hAnsi="Calibri" w:cs="仿宋"/>
          <w:sz w:val="32"/>
          <w:szCs w:val="32"/>
        </w:rPr>
      </w:pPr>
    </w:p>
    <w:p w14:paraId="387A7E53">
      <w:pPr>
        <w:pStyle w:val="6"/>
        <w:spacing w:before="93"/>
        <w:rPr>
          <w:rFonts w:hAnsi="Calibri" w:cs="仿宋"/>
          <w:sz w:val="32"/>
          <w:szCs w:val="32"/>
        </w:rPr>
      </w:pPr>
    </w:p>
    <w:p w14:paraId="11CDC298">
      <w:pPr>
        <w:pStyle w:val="6"/>
        <w:spacing w:before="93"/>
        <w:rPr>
          <w:rFonts w:hAnsi="Calibri" w:cs="仿宋"/>
          <w:sz w:val="32"/>
          <w:szCs w:val="32"/>
        </w:rPr>
      </w:pPr>
    </w:p>
    <w:p w14:paraId="42DB28C9">
      <w:pPr>
        <w:pStyle w:val="6"/>
        <w:spacing w:before="93"/>
        <w:rPr>
          <w:rFonts w:hAnsi="Calibri" w:cs="仿宋"/>
          <w:sz w:val="32"/>
          <w:szCs w:val="32"/>
        </w:rPr>
      </w:pPr>
    </w:p>
    <w:p w14:paraId="3341BECC">
      <w:pPr>
        <w:pStyle w:val="6"/>
        <w:spacing w:before="93"/>
        <w:rPr>
          <w:rFonts w:hAnsi="Calibri" w:cs="仿宋"/>
          <w:sz w:val="32"/>
          <w:szCs w:val="32"/>
        </w:rPr>
      </w:pPr>
    </w:p>
    <w:p w14:paraId="7E24E1FA">
      <w:pPr>
        <w:pStyle w:val="6"/>
        <w:spacing w:before="93"/>
        <w:rPr>
          <w:rFonts w:hAnsi="Calibri" w:cs="仿宋"/>
          <w:sz w:val="32"/>
          <w:szCs w:val="32"/>
        </w:rPr>
      </w:pPr>
    </w:p>
    <w:p w14:paraId="2721F17A">
      <w:pPr>
        <w:pStyle w:val="6"/>
        <w:spacing w:before="93"/>
        <w:rPr>
          <w:rFonts w:hAnsi="Calibri" w:cs="仿宋"/>
          <w:sz w:val="32"/>
          <w:szCs w:val="32"/>
        </w:rPr>
      </w:pPr>
    </w:p>
    <w:p w14:paraId="10F050EC">
      <w:pPr>
        <w:spacing w:line="600" w:lineRule="exact"/>
        <w:jc w:val="center"/>
        <w:outlineLvl w:val="0"/>
        <w:rPr>
          <w:rFonts w:ascii="仿宋" w:hAnsi="仿宋" w:eastAsia="仿宋"/>
        </w:rPr>
      </w:pPr>
      <w:bookmarkStart w:id="85" w:name="_Toc23619"/>
      <w:r>
        <w:rPr>
          <w:rFonts w:hint="eastAsia" w:ascii="黑体" w:hAnsi="黑体" w:eastAsia="黑体"/>
          <w:sz w:val="44"/>
          <w:szCs w:val="44"/>
        </w:rPr>
        <w:t>第</w:t>
      </w:r>
      <w:r>
        <w:rPr>
          <w:rStyle w:val="30"/>
          <w:rFonts w:hint="eastAsia" w:ascii="黑体" w:hAnsi="黑体" w:eastAsia="黑体"/>
          <w:b w:val="0"/>
        </w:rPr>
        <w:t>五部分 附表</w:t>
      </w:r>
      <w:bookmarkEnd w:id="72"/>
      <w:bookmarkEnd w:id="84"/>
      <w:bookmarkEnd w:id="85"/>
      <w:bookmarkStart w:id="86" w:name="_Toc15396619"/>
    </w:p>
    <w:p w14:paraId="12878A4C">
      <w:pPr>
        <w:pStyle w:val="4"/>
        <w:rPr>
          <w:rFonts w:ascii="仿宋" w:hAnsi="仿宋" w:eastAsia="仿宋"/>
        </w:rPr>
      </w:pPr>
      <w:bookmarkStart w:id="87" w:name="_Toc16775"/>
      <w:r>
        <w:rPr>
          <w:rFonts w:hint="eastAsia" w:ascii="仿宋" w:hAnsi="仿宋" w:eastAsia="仿宋"/>
          <w:b w:val="0"/>
        </w:rPr>
        <w:t>一、收</w:t>
      </w:r>
      <w:r>
        <w:rPr>
          <w:rStyle w:val="31"/>
          <w:rFonts w:hint="eastAsia" w:ascii="仿宋" w:hAnsi="仿宋" w:eastAsia="仿宋"/>
          <w:b w:val="0"/>
          <w:bCs w:val="0"/>
        </w:rPr>
        <w:t>入支出决算总表</w:t>
      </w:r>
      <w:bookmarkEnd w:id="86"/>
      <w:bookmarkEnd w:id="87"/>
    </w:p>
    <w:p w14:paraId="76630177">
      <w:pPr>
        <w:pStyle w:val="4"/>
        <w:rPr>
          <w:rFonts w:ascii="仿宋" w:hAnsi="仿宋" w:eastAsia="仿宋"/>
        </w:rPr>
      </w:pPr>
      <w:bookmarkStart w:id="88" w:name="_Toc15396620"/>
      <w:bookmarkStart w:id="89" w:name="_Toc29304"/>
      <w:r>
        <w:rPr>
          <w:rFonts w:hint="eastAsia" w:ascii="仿宋" w:hAnsi="仿宋" w:eastAsia="仿宋"/>
          <w:b w:val="0"/>
        </w:rPr>
        <w:t>二、收</w:t>
      </w:r>
      <w:r>
        <w:rPr>
          <w:rStyle w:val="31"/>
          <w:rFonts w:hint="eastAsia" w:ascii="仿宋" w:hAnsi="仿宋" w:eastAsia="仿宋"/>
          <w:b w:val="0"/>
          <w:bCs w:val="0"/>
        </w:rPr>
        <w:t>入决算表</w:t>
      </w:r>
      <w:bookmarkEnd w:id="88"/>
      <w:bookmarkEnd w:id="89"/>
    </w:p>
    <w:p w14:paraId="0C41353E">
      <w:pPr>
        <w:pStyle w:val="4"/>
        <w:rPr>
          <w:rFonts w:ascii="仿宋" w:hAnsi="仿宋" w:eastAsia="仿宋"/>
        </w:rPr>
      </w:pPr>
      <w:bookmarkStart w:id="90" w:name="_Toc31710"/>
      <w:bookmarkStart w:id="91" w:name="_Toc15396621"/>
      <w:r>
        <w:rPr>
          <w:rStyle w:val="31"/>
          <w:rFonts w:hint="eastAsia" w:ascii="仿宋" w:hAnsi="仿宋" w:eastAsia="仿宋"/>
          <w:b w:val="0"/>
          <w:bCs w:val="0"/>
        </w:rPr>
        <w:t>三、</w:t>
      </w:r>
      <w:r>
        <w:rPr>
          <w:rFonts w:hint="eastAsia" w:ascii="仿宋" w:hAnsi="仿宋" w:eastAsia="仿宋"/>
          <w:b w:val="0"/>
        </w:rPr>
        <w:t>支</w:t>
      </w:r>
      <w:r>
        <w:rPr>
          <w:rStyle w:val="31"/>
          <w:rFonts w:hint="eastAsia" w:ascii="仿宋" w:hAnsi="仿宋" w:eastAsia="仿宋"/>
          <w:b w:val="0"/>
          <w:bCs w:val="0"/>
        </w:rPr>
        <w:t>出决算表</w:t>
      </w:r>
      <w:bookmarkEnd w:id="90"/>
      <w:bookmarkEnd w:id="91"/>
    </w:p>
    <w:p w14:paraId="71C038E1">
      <w:pPr>
        <w:pStyle w:val="4"/>
        <w:rPr>
          <w:rFonts w:ascii="仿宋" w:hAnsi="仿宋" w:eastAsia="仿宋"/>
          <w:b w:val="0"/>
        </w:rPr>
      </w:pPr>
      <w:bookmarkStart w:id="92" w:name="_Toc4015"/>
      <w:bookmarkStart w:id="93" w:name="_Toc15396622"/>
      <w:r>
        <w:rPr>
          <w:rStyle w:val="31"/>
          <w:rFonts w:hint="eastAsia" w:ascii="仿宋" w:hAnsi="仿宋" w:eastAsia="仿宋"/>
          <w:b w:val="0"/>
          <w:bCs w:val="0"/>
        </w:rPr>
        <w:t>四、</w:t>
      </w:r>
      <w:r>
        <w:rPr>
          <w:rFonts w:hint="eastAsia" w:ascii="仿宋" w:hAnsi="仿宋" w:eastAsia="仿宋"/>
          <w:b w:val="0"/>
        </w:rPr>
        <w:t>财</w:t>
      </w:r>
      <w:r>
        <w:rPr>
          <w:rStyle w:val="31"/>
          <w:rFonts w:hint="eastAsia" w:ascii="仿宋" w:hAnsi="仿宋" w:eastAsia="仿宋"/>
          <w:b w:val="0"/>
          <w:bCs w:val="0"/>
        </w:rPr>
        <w:t>政拨款收入支出决算总表</w:t>
      </w:r>
      <w:bookmarkEnd w:id="92"/>
      <w:bookmarkEnd w:id="93"/>
    </w:p>
    <w:p w14:paraId="07B894FC">
      <w:pPr>
        <w:pStyle w:val="4"/>
        <w:rPr>
          <w:rStyle w:val="31"/>
          <w:rFonts w:ascii="仿宋" w:hAnsi="仿宋" w:eastAsia="仿宋"/>
          <w:b w:val="0"/>
          <w:bCs w:val="0"/>
        </w:rPr>
      </w:pPr>
      <w:bookmarkStart w:id="94" w:name="_Toc15396623"/>
      <w:bookmarkStart w:id="95" w:name="_Toc30241"/>
      <w:r>
        <w:rPr>
          <w:rStyle w:val="31"/>
          <w:rFonts w:hint="eastAsia" w:ascii="仿宋" w:hAnsi="仿宋" w:eastAsia="仿宋"/>
          <w:b w:val="0"/>
          <w:bCs w:val="0"/>
        </w:rPr>
        <w:t>五、</w:t>
      </w:r>
      <w:r>
        <w:rPr>
          <w:rFonts w:hint="eastAsia" w:ascii="仿宋" w:hAnsi="仿宋" w:eastAsia="仿宋"/>
          <w:b w:val="0"/>
        </w:rPr>
        <w:t>财</w:t>
      </w:r>
      <w:r>
        <w:rPr>
          <w:rStyle w:val="31"/>
          <w:rFonts w:hint="eastAsia" w:ascii="仿宋" w:hAnsi="仿宋" w:eastAsia="仿宋"/>
          <w:b w:val="0"/>
          <w:bCs w:val="0"/>
        </w:rPr>
        <w:t>政拨款支出决算明细表</w:t>
      </w:r>
      <w:bookmarkEnd w:id="94"/>
      <w:bookmarkEnd w:id="95"/>
      <w:bookmarkStart w:id="96" w:name="_Toc15396624"/>
    </w:p>
    <w:p w14:paraId="20669B05">
      <w:pPr>
        <w:pStyle w:val="4"/>
        <w:rPr>
          <w:rFonts w:ascii="仿宋" w:hAnsi="仿宋" w:eastAsia="仿宋"/>
        </w:rPr>
      </w:pPr>
      <w:bookmarkStart w:id="97" w:name="_Toc1867"/>
      <w:r>
        <w:rPr>
          <w:rStyle w:val="31"/>
          <w:rFonts w:hint="eastAsia" w:ascii="仿宋" w:hAnsi="仿宋" w:eastAsia="仿宋"/>
          <w:b w:val="0"/>
          <w:bCs w:val="0"/>
        </w:rPr>
        <w:t>六、</w:t>
      </w:r>
      <w:r>
        <w:rPr>
          <w:rFonts w:hint="eastAsia" w:ascii="仿宋" w:hAnsi="仿宋" w:eastAsia="仿宋"/>
          <w:b w:val="0"/>
        </w:rPr>
        <w:t>一</w:t>
      </w:r>
      <w:r>
        <w:rPr>
          <w:rStyle w:val="31"/>
          <w:rFonts w:hint="eastAsia" w:ascii="仿宋" w:hAnsi="仿宋" w:eastAsia="仿宋"/>
          <w:b w:val="0"/>
          <w:bCs w:val="0"/>
        </w:rPr>
        <w:t>般公共预算财政拨款支出决算表</w:t>
      </w:r>
      <w:bookmarkEnd w:id="96"/>
      <w:bookmarkEnd w:id="97"/>
    </w:p>
    <w:p w14:paraId="189A9741">
      <w:pPr>
        <w:pStyle w:val="4"/>
        <w:rPr>
          <w:rFonts w:ascii="仿宋" w:hAnsi="仿宋" w:eastAsia="仿宋"/>
        </w:rPr>
      </w:pPr>
      <w:bookmarkStart w:id="98" w:name="_Toc15396625"/>
      <w:bookmarkStart w:id="99" w:name="_Toc18361"/>
      <w:r>
        <w:rPr>
          <w:rStyle w:val="31"/>
          <w:rFonts w:hint="eastAsia" w:ascii="仿宋" w:hAnsi="仿宋" w:eastAsia="仿宋"/>
          <w:b w:val="0"/>
          <w:bCs w:val="0"/>
        </w:rPr>
        <w:t>七、</w:t>
      </w:r>
      <w:r>
        <w:rPr>
          <w:rFonts w:hint="eastAsia" w:ascii="仿宋" w:hAnsi="仿宋" w:eastAsia="仿宋"/>
          <w:b w:val="0"/>
        </w:rPr>
        <w:t>一</w:t>
      </w:r>
      <w:r>
        <w:rPr>
          <w:rStyle w:val="31"/>
          <w:rFonts w:hint="eastAsia" w:ascii="仿宋" w:hAnsi="仿宋" w:eastAsia="仿宋"/>
          <w:b w:val="0"/>
          <w:bCs w:val="0"/>
        </w:rPr>
        <w:t>般公共预算财政拨款支出决算明细表</w:t>
      </w:r>
      <w:bookmarkEnd w:id="98"/>
      <w:bookmarkEnd w:id="99"/>
    </w:p>
    <w:p w14:paraId="512DA32B">
      <w:pPr>
        <w:pStyle w:val="4"/>
        <w:rPr>
          <w:rFonts w:ascii="仿宋" w:hAnsi="仿宋" w:eastAsia="仿宋"/>
        </w:rPr>
      </w:pPr>
      <w:bookmarkStart w:id="100" w:name="_Toc9822"/>
      <w:bookmarkStart w:id="101" w:name="_Toc15396626"/>
      <w:r>
        <w:rPr>
          <w:rStyle w:val="31"/>
          <w:rFonts w:hint="eastAsia" w:ascii="仿宋" w:hAnsi="仿宋" w:eastAsia="仿宋"/>
          <w:b w:val="0"/>
          <w:bCs w:val="0"/>
        </w:rPr>
        <w:t>八、</w:t>
      </w:r>
      <w:r>
        <w:rPr>
          <w:rFonts w:hint="eastAsia" w:ascii="仿宋" w:hAnsi="仿宋" w:eastAsia="仿宋"/>
          <w:b w:val="0"/>
        </w:rPr>
        <w:t>一</w:t>
      </w:r>
      <w:r>
        <w:rPr>
          <w:rStyle w:val="31"/>
          <w:rFonts w:hint="eastAsia" w:ascii="仿宋" w:hAnsi="仿宋" w:eastAsia="仿宋"/>
          <w:b w:val="0"/>
          <w:bCs w:val="0"/>
        </w:rPr>
        <w:t>般公共预算财政拨款基本支出决算表</w:t>
      </w:r>
      <w:bookmarkEnd w:id="100"/>
      <w:bookmarkEnd w:id="101"/>
    </w:p>
    <w:p w14:paraId="0D6FE9B5">
      <w:pPr>
        <w:pStyle w:val="4"/>
        <w:rPr>
          <w:rFonts w:ascii="仿宋" w:hAnsi="仿宋" w:eastAsia="仿宋"/>
        </w:rPr>
      </w:pPr>
      <w:bookmarkStart w:id="102" w:name="_Toc30611"/>
      <w:bookmarkStart w:id="103" w:name="_Toc15396627"/>
      <w:r>
        <w:rPr>
          <w:rStyle w:val="31"/>
          <w:rFonts w:hint="eastAsia" w:ascii="仿宋" w:hAnsi="仿宋" w:eastAsia="仿宋"/>
          <w:b w:val="0"/>
          <w:bCs w:val="0"/>
        </w:rPr>
        <w:t>九、</w:t>
      </w:r>
      <w:r>
        <w:rPr>
          <w:rFonts w:hint="eastAsia" w:ascii="仿宋" w:hAnsi="仿宋" w:eastAsia="仿宋"/>
          <w:b w:val="0"/>
        </w:rPr>
        <w:t>一</w:t>
      </w:r>
      <w:r>
        <w:rPr>
          <w:rStyle w:val="31"/>
          <w:rFonts w:hint="eastAsia" w:ascii="仿宋" w:hAnsi="仿宋" w:eastAsia="仿宋"/>
          <w:b w:val="0"/>
          <w:bCs w:val="0"/>
        </w:rPr>
        <w:t>般公共预算财政拨款项目支出决算表</w:t>
      </w:r>
      <w:bookmarkEnd w:id="102"/>
      <w:bookmarkEnd w:id="103"/>
    </w:p>
    <w:p w14:paraId="2B93ED1A">
      <w:pPr>
        <w:pStyle w:val="4"/>
        <w:rPr>
          <w:rFonts w:ascii="仿宋" w:hAnsi="仿宋" w:eastAsia="仿宋"/>
        </w:rPr>
      </w:pPr>
      <w:bookmarkStart w:id="104" w:name="_Toc15396628"/>
      <w:bookmarkStart w:id="105" w:name="_Toc5557"/>
      <w:r>
        <w:rPr>
          <w:rStyle w:val="31"/>
          <w:rFonts w:hint="eastAsia" w:ascii="仿宋" w:hAnsi="仿宋" w:eastAsia="仿宋"/>
          <w:b w:val="0"/>
          <w:bCs w:val="0"/>
        </w:rPr>
        <w:t>十、</w:t>
      </w:r>
      <w:bookmarkEnd w:id="104"/>
      <w:r>
        <w:rPr>
          <w:rFonts w:hint="eastAsia" w:ascii="仿宋" w:hAnsi="仿宋" w:eastAsia="仿宋"/>
          <w:b w:val="0"/>
        </w:rPr>
        <w:t>政</w:t>
      </w:r>
      <w:r>
        <w:rPr>
          <w:rStyle w:val="31"/>
          <w:rFonts w:hint="eastAsia" w:ascii="仿宋" w:hAnsi="仿宋" w:eastAsia="仿宋"/>
          <w:b w:val="0"/>
          <w:bCs w:val="0"/>
        </w:rPr>
        <w:t>府性基金预算财政拨款收入支出决算表</w:t>
      </w:r>
      <w:bookmarkEnd w:id="105"/>
    </w:p>
    <w:p w14:paraId="5D2C6DAE">
      <w:pPr>
        <w:pStyle w:val="4"/>
        <w:rPr>
          <w:rFonts w:ascii="仿宋" w:hAnsi="仿宋" w:eastAsia="仿宋"/>
        </w:rPr>
      </w:pPr>
      <w:bookmarkStart w:id="106" w:name="_Toc15396629"/>
      <w:bookmarkStart w:id="107" w:name="_Toc14968"/>
      <w:r>
        <w:rPr>
          <w:rStyle w:val="31"/>
          <w:rFonts w:hint="eastAsia" w:ascii="仿宋" w:hAnsi="仿宋" w:eastAsia="仿宋"/>
          <w:b w:val="0"/>
          <w:bCs w:val="0"/>
        </w:rPr>
        <w:t>十一、</w:t>
      </w:r>
      <w:bookmarkEnd w:id="106"/>
      <w:r>
        <w:rPr>
          <w:rFonts w:hint="eastAsia" w:ascii="仿宋" w:hAnsi="仿宋" w:eastAsia="仿宋"/>
          <w:b w:val="0"/>
        </w:rPr>
        <w:t>国</w:t>
      </w:r>
      <w:r>
        <w:rPr>
          <w:rStyle w:val="31"/>
          <w:rFonts w:hint="eastAsia" w:ascii="仿宋" w:hAnsi="仿宋" w:eastAsia="仿宋"/>
          <w:b w:val="0"/>
          <w:bCs w:val="0"/>
        </w:rPr>
        <w:t>有资本经营预算财政拨款收入支出决算表</w:t>
      </w:r>
      <w:bookmarkEnd w:id="107"/>
    </w:p>
    <w:p w14:paraId="53AFC0C5">
      <w:pPr>
        <w:pStyle w:val="4"/>
        <w:rPr>
          <w:rFonts w:ascii="仿宋" w:hAnsi="仿宋" w:eastAsia="仿宋"/>
        </w:rPr>
      </w:pPr>
      <w:bookmarkStart w:id="108" w:name="_Toc15396630"/>
      <w:bookmarkStart w:id="109" w:name="_Toc29029"/>
      <w:r>
        <w:rPr>
          <w:rStyle w:val="31"/>
          <w:rFonts w:hint="eastAsia" w:ascii="仿宋" w:hAnsi="仿宋" w:eastAsia="仿宋"/>
          <w:b w:val="0"/>
          <w:bCs w:val="0"/>
        </w:rPr>
        <w:t>十二、</w:t>
      </w:r>
      <w:bookmarkEnd w:id="108"/>
      <w:r>
        <w:rPr>
          <w:rStyle w:val="31"/>
          <w:rFonts w:hint="eastAsia" w:ascii="仿宋" w:hAnsi="仿宋" w:eastAsia="仿宋"/>
          <w:b w:val="0"/>
          <w:bCs w:val="0"/>
        </w:rPr>
        <w:t>国有资本经营预算财政拨款支出决算表</w:t>
      </w:r>
      <w:bookmarkEnd w:id="109"/>
    </w:p>
    <w:p w14:paraId="4DD670B9">
      <w:pPr>
        <w:pStyle w:val="4"/>
        <w:rPr>
          <w:rFonts w:eastAsia="仿宋"/>
        </w:rPr>
      </w:pPr>
      <w:bookmarkStart w:id="110" w:name="_Toc15396631"/>
      <w:bookmarkStart w:id="111" w:name="_Toc13552"/>
      <w:r>
        <w:rPr>
          <w:rStyle w:val="31"/>
          <w:rFonts w:hint="eastAsia" w:ascii="仿宋" w:hAnsi="仿宋" w:eastAsia="仿宋"/>
          <w:b w:val="0"/>
          <w:bCs w:val="0"/>
        </w:rPr>
        <w:t>十三、</w:t>
      </w:r>
      <w:bookmarkEnd w:id="110"/>
      <w:r>
        <w:rPr>
          <w:rStyle w:val="31"/>
          <w:rFonts w:hint="eastAsia" w:ascii="仿宋" w:hAnsi="仿宋" w:eastAsia="仿宋"/>
          <w:b w:val="0"/>
          <w:bCs w:val="0"/>
        </w:rPr>
        <w:t>财政拨款“三公”经费支出决算表</w:t>
      </w:r>
      <w:bookmarkEnd w:id="111"/>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0D1FF69-9F32-4936-BCBB-72435A8E122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769E6055-1DBD-47A6-B4F1-0CD04C1F0600}"/>
  </w:font>
  <w:font w:name="Cambria">
    <w:panose1 w:val="02040503050406030204"/>
    <w:charset w:val="00"/>
    <w:family w:val="roman"/>
    <w:pitch w:val="default"/>
    <w:sig w:usb0="E00002FF" w:usb1="400004FF" w:usb2="00000000" w:usb3="00000000" w:csb0="2000019F" w:csb1="00000000"/>
    <w:embedRegular r:id="rId3" w:fontKey="{E06FC7BC-4A81-4460-B620-23C4F35D63CB}"/>
  </w:font>
  <w:font w:name="Arial Unicode MS">
    <w:panose1 w:val="020B0604020202020204"/>
    <w:charset w:val="86"/>
    <w:family w:val="auto"/>
    <w:pitch w:val="default"/>
    <w:sig w:usb0="FFFFFFFF" w:usb1="E9FFFFFF" w:usb2="0000003F" w:usb3="00000000" w:csb0="603F01FF" w:csb1="FFFF0000"/>
    <w:embedRegular r:id="rId4" w:fontKey="{B5A77022-BD94-41BF-A0A8-670692D53AC5}"/>
  </w:font>
  <w:font w:name="仿宋_GB2312">
    <w:panose1 w:val="02010609030101010101"/>
    <w:charset w:val="86"/>
    <w:family w:val="auto"/>
    <w:pitch w:val="default"/>
    <w:sig w:usb0="00000001" w:usb1="080E0000" w:usb2="00000000" w:usb3="00000000" w:csb0="00040000" w:csb1="00000000"/>
    <w:embedRegular r:id="rId5" w:fontKey="{1B6A2E3C-D313-400E-B7E5-74ADCC5CFA87}"/>
  </w:font>
  <w:font w:name="仿宋">
    <w:panose1 w:val="02010609060101010101"/>
    <w:charset w:val="86"/>
    <w:family w:val="modern"/>
    <w:pitch w:val="default"/>
    <w:sig w:usb0="800002BF" w:usb1="38CF7CFA" w:usb2="00000016" w:usb3="00000000" w:csb0="00040001" w:csb1="00000000"/>
    <w:embedRegular r:id="rId6" w:fontKey="{BB292DDD-232E-46F5-B451-C6D6721CC57E}"/>
  </w:font>
  <w:font w:name="微软雅黑">
    <w:panose1 w:val="020B0503020204020204"/>
    <w:charset w:val="86"/>
    <w:family w:val="auto"/>
    <w:pitch w:val="default"/>
    <w:sig w:usb0="80000287" w:usb1="280F3C52" w:usb2="00000016" w:usb3="00000000" w:csb0="0004001F" w:csb1="00000000"/>
    <w:embedRegular r:id="rId7" w:fontKey="{87EC38A8-B336-4F71-AEAC-C7B84AD05D5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5FAD5815">
        <w:pPr>
          <w:pStyle w:val="10"/>
          <w:jc w:val="center"/>
        </w:pPr>
        <w:r>
          <w:fldChar w:fldCharType="begin"/>
        </w:r>
        <w:r>
          <w:instrText xml:space="preserve">PAGE   \* MERGEFORMAT</w:instrText>
        </w:r>
        <w:r>
          <w:fldChar w:fldCharType="separate"/>
        </w:r>
        <w:r>
          <w:rPr>
            <w:lang w:val="zh-CN"/>
          </w:rPr>
          <w:t>15</w:t>
        </w:r>
        <w:r>
          <w:fldChar w:fldCharType="end"/>
        </w:r>
      </w:p>
    </w:sdtContent>
  </w:sdt>
  <w:p w14:paraId="53CF1F1E">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BD941">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EFFB87"/>
    <w:multiLevelType w:val="singleLevel"/>
    <w:tmpl w:val="88EFFB87"/>
    <w:lvl w:ilvl="0" w:tentative="0">
      <w:start w:val="1"/>
      <w:numFmt w:val="decimal"/>
      <w:suff w:val="nothing"/>
      <w:lvlText w:val="%1．"/>
      <w:lvlJc w:val="left"/>
      <w:pPr>
        <w:ind w:left="0" w:firstLine="400"/>
      </w:pPr>
      <w:rPr>
        <w:rFonts w:hint="default"/>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3818A09A"/>
    <w:multiLevelType w:val="singleLevel"/>
    <w:tmpl w:val="3818A09A"/>
    <w:lvl w:ilvl="0" w:tentative="0">
      <w:start w:val="1"/>
      <w:numFmt w:val="chineseCounting"/>
      <w:suff w:val="nothing"/>
      <w:lvlText w:val="%1、"/>
      <w:lvlJc w:val="left"/>
      <w:rPr>
        <w:rFonts w:hint="eastAsia"/>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RkMjQ1ZWEzMGEyZjdhMGExYmIxOGVkYWEzMmFmNjU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1DAD"/>
    <w:rsid w:val="001C0962"/>
    <w:rsid w:val="001D7531"/>
    <w:rsid w:val="001E737D"/>
    <w:rsid w:val="001F0592"/>
    <w:rsid w:val="001F7506"/>
    <w:rsid w:val="002006CD"/>
    <w:rsid w:val="00202B36"/>
    <w:rsid w:val="00204B7A"/>
    <w:rsid w:val="00204CDE"/>
    <w:rsid w:val="00206907"/>
    <w:rsid w:val="0021101A"/>
    <w:rsid w:val="00212B4A"/>
    <w:rsid w:val="00220536"/>
    <w:rsid w:val="00235629"/>
    <w:rsid w:val="00260C38"/>
    <w:rsid w:val="002616C0"/>
    <w:rsid w:val="00265372"/>
    <w:rsid w:val="002662AA"/>
    <w:rsid w:val="00280496"/>
    <w:rsid w:val="00294DC9"/>
    <w:rsid w:val="00295495"/>
    <w:rsid w:val="002A31DE"/>
    <w:rsid w:val="002B2613"/>
    <w:rsid w:val="002C500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25C50"/>
    <w:rsid w:val="0043177C"/>
    <w:rsid w:val="00434489"/>
    <w:rsid w:val="00437085"/>
    <w:rsid w:val="00443880"/>
    <w:rsid w:val="004464F4"/>
    <w:rsid w:val="0046049C"/>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533CF"/>
    <w:rsid w:val="005664BB"/>
    <w:rsid w:val="00566FFA"/>
    <w:rsid w:val="0057481D"/>
    <w:rsid w:val="0058486E"/>
    <w:rsid w:val="00585B33"/>
    <w:rsid w:val="0059014D"/>
    <w:rsid w:val="005B5C64"/>
    <w:rsid w:val="005B6E8A"/>
    <w:rsid w:val="005C5337"/>
    <w:rsid w:val="005C6BD0"/>
    <w:rsid w:val="005D1C8B"/>
    <w:rsid w:val="005D468D"/>
    <w:rsid w:val="005D5CED"/>
    <w:rsid w:val="005F10BC"/>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55FC5"/>
    <w:rsid w:val="0066343B"/>
    <w:rsid w:val="00664777"/>
    <w:rsid w:val="006748A4"/>
    <w:rsid w:val="00681A31"/>
    <w:rsid w:val="00683E73"/>
    <w:rsid w:val="006A3141"/>
    <w:rsid w:val="006A5E34"/>
    <w:rsid w:val="006B2422"/>
    <w:rsid w:val="006B2B9A"/>
    <w:rsid w:val="006C1937"/>
    <w:rsid w:val="006F020C"/>
    <w:rsid w:val="0071021A"/>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10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C7FD8"/>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1E6F"/>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3DC2831"/>
    <w:rsid w:val="03F613E9"/>
    <w:rsid w:val="081B5E94"/>
    <w:rsid w:val="0A2032A3"/>
    <w:rsid w:val="0ABD286D"/>
    <w:rsid w:val="0B2252D1"/>
    <w:rsid w:val="0B61253D"/>
    <w:rsid w:val="0B8A37D8"/>
    <w:rsid w:val="0F5FFB2F"/>
    <w:rsid w:val="0FFFCF60"/>
    <w:rsid w:val="10C055FF"/>
    <w:rsid w:val="118107EC"/>
    <w:rsid w:val="11DD6519"/>
    <w:rsid w:val="16BB723D"/>
    <w:rsid w:val="173C4B1A"/>
    <w:rsid w:val="18015F3F"/>
    <w:rsid w:val="1BE8440E"/>
    <w:rsid w:val="1CF270C9"/>
    <w:rsid w:val="1D155CEE"/>
    <w:rsid w:val="1FDBBF84"/>
    <w:rsid w:val="20515ADA"/>
    <w:rsid w:val="20F57F95"/>
    <w:rsid w:val="23A128D5"/>
    <w:rsid w:val="240371BF"/>
    <w:rsid w:val="25711CC6"/>
    <w:rsid w:val="25AA45A6"/>
    <w:rsid w:val="25C741E6"/>
    <w:rsid w:val="276F80C0"/>
    <w:rsid w:val="27842671"/>
    <w:rsid w:val="28BA5402"/>
    <w:rsid w:val="29FD04D3"/>
    <w:rsid w:val="2ABE7A3E"/>
    <w:rsid w:val="2AFF09B6"/>
    <w:rsid w:val="2C0C12C0"/>
    <w:rsid w:val="2CA234A8"/>
    <w:rsid w:val="2EFA178C"/>
    <w:rsid w:val="2EFDF86C"/>
    <w:rsid w:val="2F9D17E1"/>
    <w:rsid w:val="30B46D73"/>
    <w:rsid w:val="319F7F4E"/>
    <w:rsid w:val="356A28F1"/>
    <w:rsid w:val="357C035A"/>
    <w:rsid w:val="368E000D"/>
    <w:rsid w:val="37272DF6"/>
    <w:rsid w:val="383D272C"/>
    <w:rsid w:val="38A60843"/>
    <w:rsid w:val="38B05AE6"/>
    <w:rsid w:val="396D40DF"/>
    <w:rsid w:val="39AE70AB"/>
    <w:rsid w:val="3A4DCE41"/>
    <w:rsid w:val="3AC30F2B"/>
    <w:rsid w:val="3BCB56FA"/>
    <w:rsid w:val="3C0C0783"/>
    <w:rsid w:val="3EE7C2F4"/>
    <w:rsid w:val="3F371B56"/>
    <w:rsid w:val="3F792ED8"/>
    <w:rsid w:val="3F9F3A96"/>
    <w:rsid w:val="3FECA4B2"/>
    <w:rsid w:val="3FF58C48"/>
    <w:rsid w:val="42366486"/>
    <w:rsid w:val="42FF6694"/>
    <w:rsid w:val="43AE09CA"/>
    <w:rsid w:val="44B7483F"/>
    <w:rsid w:val="454A4722"/>
    <w:rsid w:val="457B31CC"/>
    <w:rsid w:val="48BF60AB"/>
    <w:rsid w:val="493C27E9"/>
    <w:rsid w:val="496F39ED"/>
    <w:rsid w:val="49FF41D3"/>
    <w:rsid w:val="4AB12EA2"/>
    <w:rsid w:val="4BE068DB"/>
    <w:rsid w:val="4BF6002B"/>
    <w:rsid w:val="4BFFC6BE"/>
    <w:rsid w:val="4ECE2238"/>
    <w:rsid w:val="51DB4B86"/>
    <w:rsid w:val="51F64DB0"/>
    <w:rsid w:val="55333C3E"/>
    <w:rsid w:val="575304D2"/>
    <w:rsid w:val="597C07CB"/>
    <w:rsid w:val="5F501D2D"/>
    <w:rsid w:val="5F67802D"/>
    <w:rsid w:val="5F7DC4F2"/>
    <w:rsid w:val="5FB36814"/>
    <w:rsid w:val="5FBB8E56"/>
    <w:rsid w:val="5FFB5535"/>
    <w:rsid w:val="61681C4A"/>
    <w:rsid w:val="61A22D98"/>
    <w:rsid w:val="62E85962"/>
    <w:rsid w:val="63A4729C"/>
    <w:rsid w:val="64CA39A1"/>
    <w:rsid w:val="689343BC"/>
    <w:rsid w:val="69630ADE"/>
    <w:rsid w:val="69BD5F13"/>
    <w:rsid w:val="69FB0B4B"/>
    <w:rsid w:val="6BFFE1FB"/>
    <w:rsid w:val="6C4A05C8"/>
    <w:rsid w:val="6D3B1A89"/>
    <w:rsid w:val="6DB7D8A3"/>
    <w:rsid w:val="6EC78701"/>
    <w:rsid w:val="6F7A5481"/>
    <w:rsid w:val="6FFE07A9"/>
    <w:rsid w:val="71BF4EC2"/>
    <w:rsid w:val="72734D90"/>
    <w:rsid w:val="72CE2E3F"/>
    <w:rsid w:val="73E75B71"/>
    <w:rsid w:val="7412278C"/>
    <w:rsid w:val="75DDCDA9"/>
    <w:rsid w:val="75FF44B1"/>
    <w:rsid w:val="773163E4"/>
    <w:rsid w:val="77670518"/>
    <w:rsid w:val="777FA627"/>
    <w:rsid w:val="77DF1B5F"/>
    <w:rsid w:val="77EF2D9D"/>
    <w:rsid w:val="79E7B28D"/>
    <w:rsid w:val="7A3852EC"/>
    <w:rsid w:val="7ACFF0C2"/>
    <w:rsid w:val="7AFB9108"/>
    <w:rsid w:val="7B3514E5"/>
    <w:rsid w:val="7BD5340C"/>
    <w:rsid w:val="7BFB19D2"/>
    <w:rsid w:val="7BFD1750"/>
    <w:rsid w:val="7BFDAA1B"/>
    <w:rsid w:val="7CDF9A82"/>
    <w:rsid w:val="7CFFA1BD"/>
    <w:rsid w:val="7D2E3F7A"/>
    <w:rsid w:val="7DED9490"/>
    <w:rsid w:val="7DFF4872"/>
    <w:rsid w:val="7E7487E6"/>
    <w:rsid w:val="7E7C2A54"/>
    <w:rsid w:val="7EEEFD72"/>
    <w:rsid w:val="7F1D517C"/>
    <w:rsid w:val="7F5DA057"/>
    <w:rsid w:val="7F6C2237"/>
    <w:rsid w:val="7F7F319B"/>
    <w:rsid w:val="7F9F20EE"/>
    <w:rsid w:val="7FBBE890"/>
    <w:rsid w:val="7FBC2ABD"/>
    <w:rsid w:val="7FBF5D48"/>
    <w:rsid w:val="7FCCFC01"/>
    <w:rsid w:val="7FDD1748"/>
    <w:rsid w:val="7FE769C6"/>
    <w:rsid w:val="7FFD083E"/>
    <w:rsid w:val="7FFF9372"/>
    <w:rsid w:val="84BF1F3B"/>
    <w:rsid w:val="8F55B106"/>
    <w:rsid w:val="95DF317D"/>
    <w:rsid w:val="97E77C70"/>
    <w:rsid w:val="9E3A10E2"/>
    <w:rsid w:val="9FB91FBD"/>
    <w:rsid w:val="9FD54998"/>
    <w:rsid w:val="A671883B"/>
    <w:rsid w:val="A7EFD17F"/>
    <w:rsid w:val="A7FFE43F"/>
    <w:rsid w:val="BDFEA317"/>
    <w:rsid w:val="CD9BBABB"/>
    <w:rsid w:val="CF99F292"/>
    <w:rsid w:val="D5DA60B3"/>
    <w:rsid w:val="D7C6F579"/>
    <w:rsid w:val="D8FECA92"/>
    <w:rsid w:val="DAFFBE66"/>
    <w:rsid w:val="DD2C0BFE"/>
    <w:rsid w:val="DE3F332B"/>
    <w:rsid w:val="DE6F4A3D"/>
    <w:rsid w:val="DF69F8B0"/>
    <w:rsid w:val="DFC71555"/>
    <w:rsid w:val="DFFC559C"/>
    <w:rsid w:val="DFFEDFAE"/>
    <w:rsid w:val="DFFFB5EB"/>
    <w:rsid w:val="E4B33E57"/>
    <w:rsid w:val="E5BF946A"/>
    <w:rsid w:val="EB39BD45"/>
    <w:rsid w:val="EBCF1FC2"/>
    <w:rsid w:val="EBD18F66"/>
    <w:rsid w:val="ED17392C"/>
    <w:rsid w:val="ED9FFD9A"/>
    <w:rsid w:val="EDB7968B"/>
    <w:rsid w:val="EEF73F60"/>
    <w:rsid w:val="EFED9E42"/>
    <w:rsid w:val="EFFFB194"/>
    <w:rsid w:val="F2E1F9D4"/>
    <w:rsid w:val="F5FF7449"/>
    <w:rsid w:val="F7880819"/>
    <w:rsid w:val="F7AF180D"/>
    <w:rsid w:val="F7BDBFA7"/>
    <w:rsid w:val="F7FAD68F"/>
    <w:rsid w:val="F7FB14CF"/>
    <w:rsid w:val="FB3FC69C"/>
    <w:rsid w:val="FBDFF225"/>
    <w:rsid w:val="FBF7AB63"/>
    <w:rsid w:val="FC2F3373"/>
    <w:rsid w:val="FCF51535"/>
    <w:rsid w:val="FD77F6B8"/>
    <w:rsid w:val="FDD69328"/>
    <w:rsid w:val="FDDFEC0E"/>
    <w:rsid w:val="FDE58BDD"/>
    <w:rsid w:val="FDEC7001"/>
    <w:rsid w:val="FEDFE87F"/>
    <w:rsid w:val="FEF1D25B"/>
    <w:rsid w:val="FF3EF90F"/>
    <w:rsid w:val="FFAF6081"/>
    <w:rsid w:val="FFECCD8C"/>
    <w:rsid w:val="FFED60BD"/>
    <w:rsid w:val="FFEE08F0"/>
    <w:rsid w:val="FFEE7F9F"/>
    <w:rsid w:val="FFFF31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常用样式（方正仿宋简）"/>
    <w:basedOn w:val="1"/>
    <w:next w:val="1"/>
    <w:autoRedefine/>
    <w:qFormat/>
    <w:uiPriority w:val="0"/>
    <w:pPr>
      <w:spacing w:line="560" w:lineRule="exact"/>
      <w:ind w:firstLine="200" w:firstLineChars="200"/>
    </w:pPr>
    <w:rPr>
      <w:rFonts w:ascii="Calibri" w:hAnsi="Calibri" w:eastAsia="Arial Unicode MS"/>
      <w:sz w:val="32"/>
    </w:rPr>
  </w:style>
  <w:style w:type="paragraph" w:styleId="6">
    <w:name w:val="Body Text"/>
    <w:basedOn w:val="1"/>
    <w:link w:val="27"/>
    <w:qFormat/>
    <w:uiPriority w:val="99"/>
    <w:pPr>
      <w:spacing w:beforeLines="30"/>
    </w:pPr>
    <w:rPr>
      <w:rFonts w:ascii="仿宋_GB2312" w:eastAsia="仿宋_GB2312"/>
      <w:kern w:val="0"/>
      <w:sz w:val="30"/>
    </w:rPr>
  </w:style>
  <w:style w:type="paragraph" w:styleId="7">
    <w:name w:val="Body Text Indent"/>
    <w:basedOn w:val="1"/>
    <w:qFormat/>
    <w:uiPriority w:val="0"/>
    <w:pPr>
      <w:spacing w:after="120"/>
      <w:ind w:left="200" w:leftChars="200"/>
    </w:pPr>
    <w:rPr>
      <w:rFonts w:ascii="仿宋_GB2312"/>
      <w:szCs w:val="32"/>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3"/>
    <w:semiHidden/>
    <w:unhideWhenUsed/>
    <w:qFormat/>
    <w:uiPriority w:val="99"/>
    <w:rPr>
      <w:sz w:val="18"/>
      <w:szCs w:val="18"/>
    </w:rPr>
  </w:style>
  <w:style w:type="paragraph" w:styleId="10">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Title"/>
    <w:basedOn w:val="1"/>
    <w:next w:val="15"/>
    <w:qFormat/>
    <w:uiPriority w:val="0"/>
    <w:pPr>
      <w:spacing w:before="240" w:after="60"/>
      <w:jc w:val="center"/>
      <w:outlineLvl w:val="0"/>
    </w:pPr>
    <w:rPr>
      <w:rFonts w:ascii="Cambria" w:hAnsi="Cambria" w:eastAsia="宋体" w:cs="Times New Roman"/>
      <w:b/>
      <w:bCs/>
      <w:kern w:val="0"/>
      <w:sz w:val="32"/>
      <w:szCs w:val="32"/>
    </w:rPr>
  </w:style>
  <w:style w:type="paragraph" w:customStyle="1" w:styleId="15">
    <w:name w:val="Body Text Indent1"/>
    <w:basedOn w:val="1"/>
    <w:next w:val="1"/>
    <w:autoRedefine/>
    <w:qFormat/>
    <w:uiPriority w:val="0"/>
    <w:pPr>
      <w:spacing w:after="120"/>
      <w:ind w:left="420" w:leftChars="200"/>
    </w:pPr>
    <w:rPr>
      <w:rFonts w:ascii="Times New Roman" w:hAnsi="Times New Roman" w:eastAsia="宋体" w:cs="Times New Roman"/>
      <w:sz w:val="24"/>
      <w:szCs w:val="20"/>
    </w:rPr>
  </w:style>
  <w:style w:type="paragraph" w:styleId="16">
    <w:name w:val="Body Text First Indent 2"/>
    <w:basedOn w:val="7"/>
    <w:unhideWhenUsed/>
    <w:qFormat/>
    <w:uiPriority w:val="99"/>
    <w:pPr>
      <w:ind w:firstLine="420" w:firstLineChars="200"/>
    </w:p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paragraph" w:customStyle="1" w:styleId="21">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2">
    <w:name w:val="Header Char"/>
    <w:basedOn w:val="18"/>
    <w:semiHidden/>
    <w:qFormat/>
    <w:uiPriority w:val="99"/>
    <w:rPr>
      <w:rFonts w:ascii="Times New Roman" w:hAnsi="Times New Roman"/>
      <w:sz w:val="18"/>
      <w:szCs w:val="18"/>
    </w:rPr>
  </w:style>
  <w:style w:type="character" w:customStyle="1" w:styleId="23">
    <w:name w:val="页眉 字符"/>
    <w:link w:val="11"/>
    <w:semiHidden/>
    <w:qFormat/>
    <w:locked/>
    <w:uiPriority w:val="99"/>
    <w:rPr>
      <w:sz w:val="18"/>
    </w:rPr>
  </w:style>
  <w:style w:type="character" w:customStyle="1" w:styleId="24">
    <w:name w:val="Footer Char"/>
    <w:basedOn w:val="18"/>
    <w:semiHidden/>
    <w:qFormat/>
    <w:uiPriority w:val="99"/>
    <w:rPr>
      <w:rFonts w:ascii="Times New Roman" w:hAnsi="Times New Roman"/>
      <w:sz w:val="18"/>
      <w:szCs w:val="18"/>
    </w:rPr>
  </w:style>
  <w:style w:type="character" w:customStyle="1" w:styleId="25">
    <w:name w:val="页脚 字符"/>
    <w:link w:val="10"/>
    <w:qFormat/>
    <w:locked/>
    <w:uiPriority w:val="99"/>
    <w:rPr>
      <w:sz w:val="18"/>
    </w:rPr>
  </w:style>
  <w:style w:type="character" w:customStyle="1" w:styleId="26">
    <w:name w:val="Body Text Char"/>
    <w:basedOn w:val="18"/>
    <w:semiHidden/>
    <w:qFormat/>
    <w:uiPriority w:val="99"/>
    <w:rPr>
      <w:rFonts w:ascii="Times New Roman" w:hAnsi="Times New Roman"/>
      <w:szCs w:val="24"/>
    </w:rPr>
  </w:style>
  <w:style w:type="character" w:customStyle="1" w:styleId="27">
    <w:name w:val="正文文本 字符"/>
    <w:link w:val="6"/>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字符"/>
    <w:basedOn w:val="18"/>
    <w:link w:val="3"/>
    <w:qFormat/>
    <w:uiPriority w:val="9"/>
    <w:rPr>
      <w:rFonts w:ascii="Times New Roman" w:hAnsi="Times New Roman"/>
      <w:b/>
      <w:bCs/>
      <w:kern w:val="44"/>
      <w:sz w:val="44"/>
      <w:szCs w:val="44"/>
    </w:rPr>
  </w:style>
  <w:style w:type="character" w:customStyle="1" w:styleId="31">
    <w:name w:val="标题 2 字符"/>
    <w:basedOn w:val="18"/>
    <w:link w:val="4"/>
    <w:qFormat/>
    <w:uiPriority w:val="9"/>
    <w:rPr>
      <w:rFonts w:asciiTheme="majorHAnsi" w:hAnsiTheme="majorHAnsi" w:eastAsiaTheme="majorEastAsia" w:cstheme="majorBidi"/>
      <w:b/>
      <w:bCs/>
      <w:kern w:val="2"/>
      <w:sz w:val="32"/>
      <w:szCs w:val="32"/>
    </w:rPr>
  </w:style>
  <w:style w:type="paragraph" w:customStyle="1" w:styleId="32">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字符"/>
    <w:basedOn w:val="18"/>
    <w:link w:val="9"/>
    <w:semiHidden/>
    <w:qFormat/>
    <w:uiPriority w:val="99"/>
    <w:rPr>
      <w:rFonts w:ascii="Times New Roman" w:hAnsi="Times New Roman"/>
      <w:kern w:val="2"/>
      <w:sz w:val="18"/>
      <w:szCs w:val="18"/>
    </w:rPr>
  </w:style>
  <w:style w:type="character" w:customStyle="1" w:styleId="34">
    <w:name w:val="标题 3 字符"/>
    <w:basedOn w:val="18"/>
    <w:link w:val="5"/>
    <w:qFormat/>
    <w:uiPriority w:val="9"/>
    <w:rPr>
      <w:rFonts w:ascii="Times New Roman" w:hAnsi="Times New Roman"/>
      <w:b/>
      <w:bCs/>
      <w:kern w:val="2"/>
      <w:sz w:val="32"/>
      <w:szCs w:val="32"/>
    </w:rPr>
  </w:style>
  <w:style w:type="paragraph" w:customStyle="1" w:styleId="35">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WPSOffice手动目录 1"/>
    <w:qFormat/>
    <w:uiPriority w:val="0"/>
    <w:pPr>
      <w:ind w:leftChars="0"/>
    </w:pPr>
    <w:rPr>
      <w:rFonts w:ascii="Times New Roman" w:hAnsi="Times New Roman" w:eastAsia="宋体" w:cs="Times New Roman"/>
      <w:sz w:val="20"/>
      <w:szCs w:val="20"/>
    </w:rPr>
  </w:style>
  <w:style w:type="paragraph" w:customStyle="1" w:styleId="37">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4" Type="http://schemas.microsoft.com/office/2011/relationships/chartColorStyle" Target="colors4.xml"/><Relationship Id="rId3" Type="http://schemas.microsoft.com/office/2011/relationships/chartStyle" Target="style4.xml"/><Relationship Id="rId2" Type="http://schemas.openxmlformats.org/officeDocument/2006/relationships/themeOverride" Target="../theme/themeOverride2.xml"/><Relationship Id="rId1" Type="http://schemas.openxmlformats.org/officeDocument/2006/relationships/oleObject" Target="file:///E:\g&#30424;&#25991;&#20214;\&#20915;&#31639;&#24037;&#20855;&#34920;&#20108;&#2282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g&#30424;&#25991;&#20214;\&#20915;&#31639;&#24037;&#20855;&#34920;&#20108;&#22823;.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E:\g&#30424;&#25991;&#20214;\&#20915;&#31639;&#24037;&#20855;&#34920;&#20108;&#22823;.xlsx" TargetMode="External"/></Relationships>
</file>

<file path=word/charts/_rels/chart4.xml.rels><?xml version="1.0" encoding="UTF-8" standalone="yes"?>
<Relationships xmlns="http://schemas.openxmlformats.org/package/2006/relationships"><Relationship Id="rId4" Type="http://schemas.microsoft.com/office/2011/relationships/chartColorStyle" Target="colors5.xml"/><Relationship Id="rId3" Type="http://schemas.microsoft.com/office/2011/relationships/chartStyle" Target="style5.xml"/><Relationship Id="rId2" Type="http://schemas.openxmlformats.org/officeDocument/2006/relationships/themeOverride" Target="../theme/themeOverride3.xml"/><Relationship Id="rId1" Type="http://schemas.openxmlformats.org/officeDocument/2006/relationships/oleObject" Target="file:///E:\g&#30424;&#25991;&#20214;\&#20915;&#31639;&#24037;&#20855;&#34920;&#20108;&#22823;.xlsx" TargetMode="External"/></Relationships>
</file>

<file path=word/charts/_rels/chart5.xml.rels><?xml version="1.0" encoding="UTF-8" standalone="yes"?>
<Relationships xmlns="http://schemas.openxmlformats.org/package/2006/relationships"><Relationship Id="rId4" Type="http://schemas.microsoft.com/office/2011/relationships/chartColorStyle" Target="colors3.xml"/><Relationship Id="rId3" Type="http://schemas.microsoft.com/office/2011/relationships/chartStyle" Target="style3.xml"/><Relationship Id="rId2" Type="http://schemas.openxmlformats.org/officeDocument/2006/relationships/themeOverride" Target="../theme/themeOverride1.xml"/><Relationship Id="rId1" Type="http://schemas.openxmlformats.org/officeDocument/2006/relationships/oleObject" Target="file:///E:\g&#30424;&#25991;&#20214;\&#20915;&#31639;&#24037;&#20855;&#34920;&#20108;&#22823;.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E:\g&#30424;&#25991;&#20214;\&#20915;&#31639;&#24037;&#20855;&#34920;&#20108;&#22823;.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E:\g&#30424;&#25991;&#20214;\&#20915;&#31639;&#24037;&#20855;&#34920;&#20108;&#2282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defTabSz="914400">
              <a:defRPr lang="zh-CN" sz="1400" b="0" i="0" u="none" strike="noStrike" kern="1200" spc="0" baseline="0">
                <a:solidFill>
                  <a:schemeClr val="tx1"/>
                </a:solidFill>
                <a:latin typeface="+mn-lt"/>
                <a:ea typeface="+mn-ea"/>
                <a:cs typeface="+mn-cs"/>
              </a:defRPr>
            </a:pPr>
            <a:r>
              <a:t>射洪市武安镇文聚学校收、支决算总计变动情况图</a:t>
            </a:r>
          </a:p>
        </c:rich>
      </c:tx>
      <c:layout/>
      <c:overlay val="0"/>
      <c:spPr>
        <a:noFill/>
        <a:ln>
          <a:noFill/>
        </a:ln>
        <a:effectLst/>
      </c:spPr>
    </c:title>
    <c:autoTitleDeleted val="0"/>
    <c:plotArea>
      <c:layout/>
      <c:barChart>
        <c:barDir val="col"/>
        <c:grouping val="clustered"/>
        <c:varyColors val="0"/>
        <c:ser>
          <c:idx val="0"/>
          <c:order val="0"/>
          <c:spPr>
            <a:gradFill>
              <a:gsLst>
                <a:gs pos="30000">
                  <a:schemeClr val="accent1">
                    <a:lumMod val="60000"/>
                    <a:lumOff val="40000"/>
                  </a:schemeClr>
                </a:gs>
                <a:gs pos="95000">
                  <a:schemeClr val="accent1"/>
                </a:gs>
              </a:gsLst>
              <a:lin ang="16200000" scaled="0"/>
            </a:gradFill>
            <a:ln w="9525">
              <a:noFill/>
            </a:ln>
            <a:effectLst>
              <a:outerShdw blurRad="50800" dist="12700" dir="2700000" algn="tl" rotWithShape="0">
                <a:schemeClr val="accent1">
                  <a:lumMod val="50000"/>
                  <a:alpha val="65000"/>
                </a:schemeClr>
              </a:outerShdw>
            </a:effectLst>
            <a:sp3d contourW="9525"/>
          </c:spPr>
          <c:invertIfNegative val="0"/>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tx1">
                        <a:lumMod val="50000"/>
                        <a:lumOff val="50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[决算工具表二大.xlsx]文J!$B$64:$C$64</c:f>
              <c:strCache>
                <c:ptCount val="2"/>
                <c:pt idx="0">
                  <c:v>2022收、支</c:v>
                </c:pt>
                <c:pt idx="1">
                  <c:v>2023收、支</c:v>
                </c:pt>
              </c:strCache>
            </c:strRef>
          </c:cat>
          <c:val>
            <c:numRef>
              <c:f>[决算工具表二大.xlsx]文J!$B$65:$C$65</c:f>
              <c:numCache>
                <c:formatCode>#,##0.00</c:formatCode>
                <c:ptCount val="2"/>
                <c:pt idx="0">
                  <c:v>514.11</c:v>
                </c:pt>
                <c:pt idx="1" c:formatCode="General">
                  <c:v>551.99</c:v>
                </c:pt>
              </c:numCache>
            </c:numRef>
          </c:val>
        </c:ser>
        <c:ser>
          <c:idx val="1"/>
          <c:order val="1"/>
          <c:spPr>
            <a:solidFill>
              <a:schemeClr val="accent2"/>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[决算工具表二大.xlsx]文J!$B$64:$C$64</c:f>
              <c:strCache>
                <c:ptCount val="2"/>
                <c:pt idx="0">
                  <c:v>2022收、支</c:v>
                </c:pt>
                <c:pt idx="1">
                  <c:v>2023收、支</c:v>
                </c:pt>
              </c:strCache>
            </c:strRef>
          </c:cat>
          <c:val>
            <c:numRef>
              <c:f>[决算工具表二大.xlsx]文J!$B$66:$C$66</c:f>
              <c:numCache>
                <c:formatCode>#,##0.00</c:formatCode>
                <c:ptCount val="2"/>
                <c:pt idx="0">
                  <c:v>514.11</c:v>
                </c:pt>
                <c:pt idx="1" c:formatCode="General">
                  <c:v>551.99</c:v>
                </c:pt>
              </c:numCache>
            </c:numRef>
          </c:val>
        </c:ser>
        <c:dLbls>
          <c:showLegendKey val="0"/>
          <c:showVal val="1"/>
          <c:showCatName val="0"/>
          <c:showSerName val="0"/>
          <c:showPercent val="0"/>
          <c:showBubbleSize val="0"/>
        </c:dLbls>
        <c:gapWidth val="150"/>
        <c:overlap val="-20"/>
        <c:axId val="414555580"/>
        <c:axId val="627808272"/>
      </c:barChart>
      <c:catAx>
        <c:axId val="4145555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forceAA="0"/>
          <a:lstStyle/>
          <a:p>
            <a:pPr>
              <a:defRPr lang="zh-CN" sz="900" b="0" i="0" u="none" strike="noStrike" kern="1200" baseline="0">
                <a:solidFill>
                  <a:schemeClr val="tx1">
                    <a:lumMod val="65000"/>
                    <a:lumOff val="35000"/>
                  </a:schemeClr>
                </a:solidFill>
                <a:latin typeface="+mn-lt"/>
                <a:ea typeface="+mn-ea"/>
                <a:cs typeface="+mn-cs"/>
              </a:defRPr>
            </a:pPr>
          </a:p>
        </c:txPr>
        <c:crossAx val="627808272"/>
        <c:crosses val="autoZero"/>
        <c:auto val="1"/>
        <c:lblAlgn val="ctr"/>
        <c:lblOffset val="100"/>
        <c:noMultiLvlLbl val="0"/>
      </c:catAx>
      <c:valAx>
        <c:axId val="62780827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chemeClr val="tx1">
                    <a:lumMod val="65000"/>
                    <a:lumOff val="35000"/>
                  </a:schemeClr>
                </a:solidFill>
                <a:latin typeface="+mn-lt"/>
                <a:ea typeface="+mn-ea"/>
                <a:cs typeface="+mn-cs"/>
              </a:defRPr>
            </a:pPr>
          </a:p>
        </c:txPr>
        <c:crossAx val="4145555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forceAA="0"/>
          <a:lstStyle/>
          <a:p>
            <a:pPr defTabSz="914400">
              <a:defRPr lang="zh-CN" sz="14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t>射洪市武安镇文聚学校收入决算结构图</a:t>
            </a:r>
          </a:p>
        </c:rich>
      </c:tx>
      <c:layout/>
      <c:overlay val="0"/>
      <c:spPr>
        <a:noFill/>
        <a:ln>
          <a:noFill/>
        </a:ln>
        <a:effectLst/>
      </c:spPr>
    </c:title>
    <c:autoTitleDeleted val="0"/>
    <c:view3D>
      <c:rotX val="50"/>
      <c:rotY val="28"/>
      <c:depthPercent val="100"/>
      <c:rAngAx val="0"/>
    </c:view3D>
    <c:floor>
      <c:thickness val="0"/>
    </c:floor>
    <c:sideWall>
      <c:thickness val="0"/>
    </c:sideWall>
    <c:backWall>
      <c:thickness val="0"/>
    </c:backWall>
    <c:plotArea>
      <c:layout/>
      <c:pie3DChart>
        <c:varyColors val="1"/>
        <c:ser>
          <c:idx val="0"/>
          <c:order val="0"/>
          <c:tx>
            <c:strRef>
              <c:f>[决算工具表二大.xlsx]文J!$A$85</c:f>
              <c:strCache>
                <c:ptCount val="1"/>
                <c:pt idx="0">
                  <c:v>一般公共预算财政拨款收入</c:v>
                </c:pt>
              </c:strCache>
            </c:strRef>
          </c:tx>
          <c:spPr>
            <a:scene3d>
              <a:camera prst="orthographicFront"/>
              <a:lightRig rig="threePt" dir="t"/>
            </a:scene3d>
            <a:sp3d contourW="9525"/>
          </c:spPr>
          <c:explosion val="0"/>
          <c:dPt>
            <c:idx val="0"/>
            <c:bubble3D val="0"/>
            <c:spPr>
              <a:gradFill>
                <a:gsLst>
                  <a:gs pos="0">
                    <a:schemeClr val="accent1">
                      <a:shade val="76667"/>
                      <a:lumMod val="40000"/>
                      <a:lumOff val="60000"/>
                    </a:schemeClr>
                  </a:gs>
                  <a:gs pos="90000">
                    <a:schemeClr val="accent1">
                      <a:shade val="76667"/>
                    </a:schemeClr>
                  </a:gs>
                </a:gsLst>
                <a:lin ang="5400000" scaled="0"/>
              </a:gradFill>
              <a:ln>
                <a:gradFill>
                  <a:gsLst>
                    <a:gs pos="0">
                      <a:schemeClr val="accent1">
                        <a:shade val="76667"/>
                      </a:schemeClr>
                    </a:gs>
                    <a:gs pos="100000">
                      <a:schemeClr val="accent1">
                        <a:shade val="76667"/>
                        <a:lumMod val="75000"/>
                      </a:schemeClr>
                    </a:gs>
                  </a:gsLst>
                  <a:lin ang="5400000" scaled="1"/>
                </a:gradFill>
              </a:ln>
              <a:effectLst/>
            </c:spPr>
          </c:dPt>
          <c:dLbls>
            <c:dLbl>
              <c:idx val="0"/>
              <c:layout>
                <c:manualLayout>
                  <c:x val="0.0574484520295017"/>
                  <c:y val="-0.742712294043092"/>
                </c:manualLayout>
              </c:layout>
              <c:tx>
                <c:rich>
                  <a:bodyPr rot="0" spcFirstLastPara="0" vertOverflow="ellipsis" vert="horz" wrap="square" lIns="38100" tIns="19050" rIns="38100" bIns="19050" anchor="ctr" anchorCtr="1" forceAA="0"/>
                  <a:lstStyle/>
                  <a:p>
                    <a:pPr defTabSz="914400">
                      <a:defRPr lang="zh-CN" sz="1000" b="0" i="0" u="none" strike="noStrike" kern="1200" spc="0" baseline="0">
                        <a:solidFill>
                          <a:schemeClr val="accent1">
                            <a:shade val="76667"/>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t>一般公共预算财政拨款收入100%</a:t>
                    </a:r>
                  </a:p>
                </c:rich>
              </c:tx>
              <c:numFmt formatCode="General" sourceLinked="1"/>
              <c:spPr>
                <a:noFill/>
                <a:ln>
                  <a:noFill/>
                </a:ln>
                <a:effectLst/>
              </c:spPr>
              <c:txPr>
                <a:bodyPr rot="0" spcFirstLastPara="0" vertOverflow="ellipsis" vert="horz" wrap="square" lIns="38100" tIns="19050" rIns="38100" bIns="19050" anchor="ctr" anchorCtr="1" forceAA="0"/>
                <a:lstStyle/>
                <a:p>
                  <a:pPr>
                    <a:defRPr lang="zh-CN" sz="1000" b="0" i="0" u="none" strike="noStrike" kern="1200" spc="0" baseline="0">
                      <a:solidFill>
                        <a:schemeClr val="accent1">
                          <a:shade val="76667"/>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933108677337826"/>
                      <c:h val="0.146700294241278"/>
                    </c:manualLayout>
                  </c15:layout>
                </c:ext>
              </c:extLst>
            </c:dLbl>
            <c:numFmt formatCode="General" sourceLinked="1"/>
            <c:spPr>
              <a:noFill/>
              <a:ln>
                <a:noFill/>
              </a:ln>
              <a:effectLst/>
            </c:spPr>
            <c:txPr>
              <a:bodyPr rot="0" spcFirstLastPara="0" vertOverflow="ellipsis" vert="horz" wrap="square" lIns="38100" tIns="19050" rIns="38100" bIns="19050" anchor="ctr" anchorCtr="1" forceAA="0"/>
              <a:lstStyle/>
              <a:p>
                <a:pPr>
                  <a:defRPr lang="zh-CN" sz="1000" b="0" i="0" u="none" strike="noStrike" kern="1200" spc="0" baseline="0">
                    <a:solidFill>
                      <a:schemeClr val="accent1"/>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val>
            <c:numRef>
              <c:f>[决算工具表二大.xlsx]文J!$B$85</c:f>
              <c:numCache>
                <c:formatCode>General</c:formatCode>
                <c:ptCount val="1"/>
                <c:pt idx="0">
                  <c:v>615.13</c:v>
                </c:pt>
              </c:numCache>
            </c:numRef>
          </c:val>
        </c:ser>
        <c:dLbls>
          <c:showLegendKey val="0"/>
          <c:showVal val="1"/>
          <c:showCatName val="0"/>
          <c:showSerName val="0"/>
          <c:showPercent val="0"/>
          <c:showBubbleSize val="0"/>
        </c:dLbls>
      </c:pie3DChart>
      <c:spPr>
        <a:noFill/>
        <a:ln>
          <a:noFill/>
        </a:ln>
        <a:effectLst/>
      </c:spPr>
    </c:plotArea>
    <c:plotVisOnly val="1"/>
    <c:dispBlanksAs val="gap"/>
    <c:showDLblsOverMax val="0"/>
  </c:chart>
  <c:spPr>
    <a:solidFill>
      <a:schemeClr val="bg1"/>
    </a:solidFill>
    <a:ln w="6350" cap="flat" cmpd="sng" algn="ctr">
      <a:solidFill>
        <a:schemeClr val="tx1">
          <a:lumMod val="50000"/>
          <a:lumOff val="50000"/>
          <a:alpha val="25000"/>
        </a:schemeClr>
      </a:solidFill>
      <a:prstDash val="solid"/>
      <a:round/>
    </a:ln>
    <a:effectLst>
      <a:outerShdw blurRad="63500" dist="37357" dir="2700000" sx="0" sy="0" rotWithShape="0">
        <a:scrgbClr r="0" g="0" b="0"/>
      </a:outerShdw>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forceAA="0"/>
          <a:lstStyle/>
          <a:p>
            <a:pPr defTabSz="914400">
              <a:defRPr lang="zh-CN" sz="1400" b="1" i="0" u="none" strike="noStrike" kern="1200" baseline="0">
                <a:solidFill>
                  <a:schemeClr val="tx1">
                    <a:lumMod val="75000"/>
                    <a:lumOff val="25000"/>
                  </a:schemeClr>
                </a:solidFill>
                <a:latin typeface="+mn-lt"/>
                <a:ea typeface="+mn-ea"/>
                <a:cs typeface="+mn-cs"/>
              </a:defRPr>
            </a:pPr>
            <a:r>
              <a:t>射洪市武安镇文聚学校支出决算结构图</a:t>
            </a:r>
          </a:p>
        </c:rich>
      </c:tx>
      <c:layout>
        <c:manualLayout>
          <c:xMode val="edge"/>
          <c:yMode val="edge"/>
          <c:x val="0.134372367312553"/>
          <c:y val="0.0137988710014635"/>
        </c:manualLayout>
      </c:layout>
      <c:overlay val="0"/>
      <c:spPr>
        <a:noFill/>
        <a:ln>
          <a:noFill/>
        </a:ln>
        <a:effectLst/>
      </c:spPr>
    </c:title>
    <c:autoTitleDeleted val="0"/>
    <c:plotArea>
      <c:layout/>
      <c:pieChart>
        <c:varyColors val="1"/>
        <c:ser>
          <c:idx val="0"/>
          <c:order val="0"/>
          <c:spPr/>
          <c:explosion val="0"/>
          <c:dPt>
            <c:idx val="0"/>
            <c:bubble3D val="0"/>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c:spPr>
          </c:dPt>
          <c:dPt>
            <c:idx val="1"/>
            <c:bubble3D val="0"/>
            <c:spPr>
              <a:gradFill>
                <a:gsLst>
                  <a:gs pos="0">
                    <a:schemeClr val="accent2">
                      <a:lumMod val="40000"/>
                      <a:lumOff val="60000"/>
                    </a:schemeClr>
                  </a:gs>
                  <a:gs pos="90000">
                    <a:schemeClr val="accent2"/>
                  </a:gs>
                </a:gsLst>
                <a:lin ang="5400000" scaled="0"/>
              </a:gradFill>
              <a:ln>
                <a:gradFill>
                  <a:gsLst>
                    <a:gs pos="0">
                      <a:schemeClr val="accent2"/>
                    </a:gs>
                    <a:gs pos="100000">
                      <a:schemeClr val="accent2">
                        <a:lumMod val="75000"/>
                      </a:schemeClr>
                    </a:gs>
                  </a:gsLst>
                  <a:lin ang="5400000" scaled="1"/>
                </a:gradFill>
              </a:ln>
              <a:effectLst/>
            </c:spPr>
          </c:dPt>
          <c:dLbls>
            <c:dLbl>
              <c:idx val="0"/>
              <c:layout/>
              <c:tx>
                <c:rich>
                  <a:bodyPr rot="0" spcFirstLastPara="0" vertOverflow="ellipsis" vert="horz" wrap="square" lIns="38100" tIns="19050" rIns="38100" bIns="19050" anchor="ctr" anchorCtr="1" forceAA="0"/>
                  <a:lstStyle/>
                  <a:p>
                    <a:pPr defTabSz="914400">
                      <a:defRPr lang="zh-CN" sz="1000" b="0" i="0" u="none" strike="noStrike" kern="1200" baseline="0">
                        <a:solidFill>
                          <a:schemeClr val="tx1">
                            <a:lumMod val="75000"/>
                            <a:lumOff val="25000"/>
                          </a:schemeClr>
                        </a:solidFill>
                        <a:latin typeface="+mn-lt"/>
                        <a:ea typeface="+mn-ea"/>
                        <a:cs typeface="+mn-cs"/>
                      </a:defRPr>
                    </a:pPr>
                    <a:r>
                      <a:rPr lang="en-US" altLang="zh-CN"/>
                      <a:t>99.1</a:t>
                    </a:r>
                    <a:r>
                      <a:t>%</a:t>
                    </a:r>
                  </a:p>
                </c:rich>
              </c:tx>
              <c:dLblPos val="bestFit"/>
              <c:showLegendKey val="0"/>
              <c:showVal val="0"/>
              <c:showCatName val="0"/>
              <c:showSerName val="0"/>
              <c:showPercent val="1"/>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forceAA="0"/>
                  <a:lstStyle/>
                  <a:p>
                    <a:pPr defTabSz="914400">
                      <a:defRPr lang="zh-CN" sz="1000" b="0" i="0" u="none" strike="noStrike" kern="1200" baseline="0">
                        <a:solidFill>
                          <a:schemeClr val="tx1">
                            <a:lumMod val="75000"/>
                            <a:lumOff val="25000"/>
                          </a:schemeClr>
                        </a:solidFill>
                        <a:latin typeface="+mn-lt"/>
                        <a:ea typeface="+mn-ea"/>
                        <a:cs typeface="+mn-cs"/>
                      </a:defRPr>
                    </a:pPr>
                    <a:r>
                      <a:t>0</a:t>
                    </a:r>
                    <a:r>
                      <a:rPr lang="en-US" altLang="zh-CN"/>
                      <a:t>.9</a:t>
                    </a:r>
                    <a:r>
                      <a:t>%</a:t>
                    </a:r>
                  </a:p>
                </c:rich>
              </c:tx>
              <c:dLblPos val="bestFit"/>
              <c:showLegendKey val="0"/>
              <c:showVal val="0"/>
              <c:showCatName val="0"/>
              <c:showSerName val="0"/>
              <c:showPercent val="1"/>
              <c:showBubbleSize val="0"/>
              <c:extLst>
                <c:ext xmlns:c15="http://schemas.microsoft.com/office/drawing/2012/chart" uri="{CE6537A1-D6FC-4f65-9D91-7224C49458BB}"/>
              </c:extLst>
            </c:dLbl>
            <c:numFmt formatCode="General" sourceLinked="1"/>
            <c:spPr>
              <a:noFill/>
              <a:ln>
                <a:noFill/>
              </a:ln>
              <a:effectLst/>
            </c:spPr>
            <c:txPr>
              <a:bodyPr rot="0" spcFirstLastPara="0" vertOverflow="ellipsis" vert="horz" wrap="square" lIns="38100" tIns="19050" rIns="38100" bIns="19050" anchor="ctr" anchorCtr="1" forceAA="0"/>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[决算工具表二大.xlsx]文J!$A$104:$A$105</c:f>
              <c:strCache>
                <c:ptCount val="2"/>
                <c:pt idx="0">
                  <c:v>基本支出</c:v>
                </c:pt>
                <c:pt idx="1">
                  <c:v>项目支出</c:v>
                </c:pt>
              </c:strCache>
            </c:strRef>
          </c:cat>
          <c:val>
            <c:numRef>
              <c:f>[决算工具表二大.xlsx]文J!$B$104:$B$105</c:f>
              <c:numCache>
                <c:formatCode>General</c:formatCode>
                <c:ptCount val="2"/>
                <c:pt idx="0">
                  <c:v>547.06</c:v>
                </c:pt>
                <c:pt idx="1">
                  <c:v>4.93</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defTabSz="914400">
              <a:defRPr lang="zh-CN" sz="1400" b="0" i="0" u="none" strike="noStrike" kern="1200" spc="0" baseline="0">
                <a:solidFill>
                  <a:schemeClr val="tx1"/>
                </a:solidFill>
                <a:latin typeface="+mn-lt"/>
                <a:ea typeface="+mn-ea"/>
                <a:cs typeface="+mn-cs"/>
              </a:defRPr>
            </a:pPr>
            <a:r>
              <a:t>射洪市武安镇文聚学校财政拨款收、支决算总计变动情况</a:t>
            </a:r>
          </a:p>
        </c:rich>
      </c:tx>
      <c:layout/>
      <c:overlay val="0"/>
      <c:spPr>
        <a:noFill/>
        <a:ln>
          <a:noFill/>
        </a:ln>
        <a:effectLst/>
      </c:spPr>
    </c:title>
    <c:autoTitleDeleted val="0"/>
    <c:plotArea>
      <c:layout/>
      <c:barChart>
        <c:barDir val="col"/>
        <c:grouping val="clustered"/>
        <c:varyColors val="0"/>
        <c:ser>
          <c:idx val="0"/>
          <c:order val="0"/>
          <c:spPr>
            <a:gradFill>
              <a:gsLst>
                <a:gs pos="30000">
                  <a:schemeClr val="accent1">
                    <a:lumMod val="60000"/>
                    <a:lumOff val="40000"/>
                  </a:schemeClr>
                </a:gs>
                <a:gs pos="95000">
                  <a:schemeClr val="accent1"/>
                </a:gs>
              </a:gsLst>
              <a:lin ang="16200000" scaled="0"/>
            </a:gradFill>
            <a:ln w="9525">
              <a:noFill/>
            </a:ln>
            <a:effectLst>
              <a:outerShdw blurRad="50800" dist="12700" dir="2700000" algn="tl" rotWithShape="0">
                <a:schemeClr val="accent1">
                  <a:lumMod val="50000"/>
                  <a:alpha val="65000"/>
                </a:schemeClr>
              </a:outerShdw>
            </a:effectLst>
            <a:sp3d contourW="9525"/>
          </c:spPr>
          <c:invertIfNegative val="0"/>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tx1">
                        <a:lumMod val="50000"/>
                        <a:lumOff val="50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[决算工具表二大.xlsx]文J!$B$64:$C$64</c:f>
              <c:strCache>
                <c:ptCount val="2"/>
                <c:pt idx="0">
                  <c:v>2022收、支</c:v>
                </c:pt>
                <c:pt idx="1">
                  <c:v>2023收、支</c:v>
                </c:pt>
              </c:strCache>
            </c:strRef>
          </c:cat>
          <c:val>
            <c:numRef>
              <c:f>[决算工具表二大.xlsx]文J!$B$65:$C$65</c:f>
              <c:numCache>
                <c:formatCode>#,##0.00</c:formatCode>
                <c:ptCount val="2"/>
                <c:pt idx="0">
                  <c:v>514.11</c:v>
                </c:pt>
                <c:pt idx="1" c:formatCode="General">
                  <c:v>551.99</c:v>
                </c:pt>
              </c:numCache>
            </c:numRef>
          </c:val>
        </c:ser>
        <c:ser>
          <c:idx val="1"/>
          <c:order val="1"/>
          <c:spPr>
            <a:solidFill>
              <a:schemeClr val="accent2"/>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[决算工具表二大.xlsx]文J!$B$64:$C$64</c:f>
              <c:strCache>
                <c:ptCount val="2"/>
                <c:pt idx="0">
                  <c:v>2022收、支</c:v>
                </c:pt>
                <c:pt idx="1">
                  <c:v>2023收、支</c:v>
                </c:pt>
              </c:strCache>
            </c:strRef>
          </c:cat>
          <c:val>
            <c:numRef>
              <c:f>[决算工具表二大.xlsx]文J!$B$66:$C$66</c:f>
              <c:numCache>
                <c:formatCode>#,##0.00</c:formatCode>
                <c:ptCount val="2"/>
                <c:pt idx="0">
                  <c:v>514.11</c:v>
                </c:pt>
                <c:pt idx="1" c:formatCode="General">
                  <c:v>551.99</c:v>
                </c:pt>
              </c:numCache>
            </c:numRef>
          </c:val>
        </c:ser>
        <c:dLbls>
          <c:showLegendKey val="0"/>
          <c:showVal val="1"/>
          <c:showCatName val="0"/>
          <c:showSerName val="0"/>
          <c:showPercent val="0"/>
          <c:showBubbleSize val="0"/>
        </c:dLbls>
        <c:gapWidth val="150"/>
        <c:overlap val="-20"/>
        <c:axId val="414555580"/>
        <c:axId val="627808272"/>
      </c:barChart>
      <c:catAx>
        <c:axId val="4145555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forceAA="0"/>
          <a:lstStyle/>
          <a:p>
            <a:pPr>
              <a:defRPr lang="zh-CN" sz="900" b="0" i="0" u="none" strike="noStrike" kern="1200" baseline="0">
                <a:solidFill>
                  <a:schemeClr val="tx1">
                    <a:lumMod val="65000"/>
                    <a:lumOff val="35000"/>
                  </a:schemeClr>
                </a:solidFill>
                <a:latin typeface="+mn-lt"/>
                <a:ea typeface="+mn-ea"/>
                <a:cs typeface="+mn-cs"/>
              </a:defRPr>
            </a:pPr>
          </a:p>
        </c:txPr>
        <c:crossAx val="627808272"/>
        <c:crosses val="autoZero"/>
        <c:auto val="1"/>
        <c:lblAlgn val="ctr"/>
        <c:lblOffset val="100"/>
        <c:noMultiLvlLbl val="0"/>
      </c:catAx>
      <c:valAx>
        <c:axId val="62780827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chemeClr val="tx1">
                    <a:lumMod val="65000"/>
                    <a:lumOff val="35000"/>
                  </a:schemeClr>
                </a:solidFill>
                <a:latin typeface="+mn-lt"/>
                <a:ea typeface="+mn-ea"/>
                <a:cs typeface="+mn-cs"/>
              </a:defRPr>
            </a:pPr>
          </a:p>
        </c:txPr>
        <c:crossAx val="4145555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defTabSz="914400">
              <a:defRPr lang="zh-CN" sz="1400" b="0" i="0" u="none" strike="noStrike" kern="1200" spc="0" baseline="0">
                <a:solidFill>
                  <a:schemeClr val="tx1"/>
                </a:solidFill>
                <a:latin typeface="+mn-lt"/>
                <a:ea typeface="+mn-ea"/>
                <a:cs typeface="+mn-cs"/>
              </a:defRPr>
            </a:pPr>
            <a:r>
              <a:t>射洪市武安镇文聚学校一般公共预算财政拨款支出决算变动情况</a:t>
            </a:r>
          </a:p>
        </c:rich>
      </c:tx>
      <c:layout>
        <c:manualLayout>
          <c:xMode val="edge"/>
          <c:yMode val="edge"/>
          <c:x val="0.114366729678639"/>
          <c:y val="0.0316319194823868"/>
        </c:manualLayout>
      </c:layout>
      <c:overlay val="0"/>
      <c:spPr>
        <a:noFill/>
        <a:ln>
          <a:noFill/>
        </a:ln>
        <a:effectLst/>
      </c:spPr>
    </c:title>
    <c:autoTitleDeleted val="0"/>
    <c:plotArea>
      <c:layout/>
      <c:barChart>
        <c:barDir val="col"/>
        <c:grouping val="clustered"/>
        <c:varyColors val="0"/>
        <c:ser>
          <c:idx val="0"/>
          <c:order val="0"/>
          <c:spPr>
            <a:gradFill>
              <a:gsLst>
                <a:gs pos="30000">
                  <a:schemeClr val="accent1">
                    <a:lumMod val="60000"/>
                    <a:lumOff val="40000"/>
                  </a:schemeClr>
                </a:gs>
                <a:gs pos="95000">
                  <a:schemeClr val="accent1"/>
                </a:gs>
              </a:gsLst>
              <a:lin ang="16200000" scaled="0"/>
            </a:gradFill>
            <a:ln w="9525">
              <a:noFill/>
            </a:ln>
            <a:effectLst>
              <a:outerShdw blurRad="50800" dist="12700" dir="2700000" algn="tl" rotWithShape="0">
                <a:schemeClr val="accent1">
                  <a:lumMod val="50000"/>
                  <a:alpha val="65000"/>
                </a:schemeClr>
              </a:outerShdw>
            </a:effectLst>
            <a:sp3d contourW="9525"/>
          </c:spPr>
          <c:invertIfNegative val="0"/>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tx1">
                        <a:lumMod val="50000"/>
                        <a:lumOff val="50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[决算工具表二大.xlsx]文J!$B$70:$C$70</c:f>
              <c:strCache>
                <c:ptCount val="2"/>
                <c:pt idx="0">
                  <c:v>2022收、支</c:v>
                </c:pt>
                <c:pt idx="1">
                  <c:v>2023收、支</c:v>
                </c:pt>
              </c:strCache>
            </c:strRef>
          </c:cat>
          <c:val>
            <c:numRef>
              <c:f>[决算工具表二大.xlsx]文J!$B$71:$C$71</c:f>
              <c:numCache>
                <c:formatCode>#,##0.00</c:formatCode>
                <c:ptCount val="2"/>
                <c:pt idx="0">
                  <c:v>514.11</c:v>
                </c:pt>
                <c:pt idx="1" c:formatCode="General">
                  <c:v>551.99</c:v>
                </c:pt>
              </c:numCache>
            </c:numRef>
          </c:val>
        </c:ser>
        <c:ser>
          <c:idx val="1"/>
          <c:order val="1"/>
          <c:spPr>
            <a:solidFill>
              <a:schemeClr val="accent2"/>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[决算工具表二大.xlsx]文J!$B$70:$C$70</c:f>
              <c:strCache>
                <c:ptCount val="2"/>
                <c:pt idx="0">
                  <c:v>2022收、支</c:v>
                </c:pt>
                <c:pt idx="1">
                  <c:v>2023收、支</c:v>
                </c:pt>
              </c:strCache>
            </c:strRef>
          </c:cat>
          <c:val>
            <c:numRef>
              <c:f>[决算工具表二大.xlsx]文J!$B$72:$C$72</c:f>
              <c:numCache>
                <c:formatCode>#,##0.00</c:formatCode>
                <c:ptCount val="2"/>
                <c:pt idx="0">
                  <c:v>514.11</c:v>
                </c:pt>
                <c:pt idx="1" c:formatCode="General">
                  <c:v>551.99</c:v>
                </c:pt>
              </c:numCache>
            </c:numRef>
          </c:val>
        </c:ser>
        <c:dLbls>
          <c:showLegendKey val="0"/>
          <c:showVal val="1"/>
          <c:showCatName val="0"/>
          <c:showSerName val="0"/>
          <c:showPercent val="0"/>
          <c:showBubbleSize val="0"/>
        </c:dLbls>
        <c:gapWidth val="150"/>
        <c:overlap val="-20"/>
        <c:axId val="414555580"/>
        <c:axId val="627808272"/>
      </c:barChart>
      <c:catAx>
        <c:axId val="4145555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forceAA="0"/>
          <a:lstStyle/>
          <a:p>
            <a:pPr>
              <a:defRPr lang="zh-CN" sz="900" b="0" i="0" u="none" strike="noStrike" kern="1200" baseline="0">
                <a:solidFill>
                  <a:schemeClr val="tx1">
                    <a:lumMod val="65000"/>
                    <a:lumOff val="35000"/>
                  </a:schemeClr>
                </a:solidFill>
                <a:latin typeface="+mn-lt"/>
                <a:ea typeface="+mn-ea"/>
                <a:cs typeface="+mn-cs"/>
              </a:defRPr>
            </a:pPr>
          </a:p>
        </c:txPr>
        <c:crossAx val="627808272"/>
        <c:crosses val="autoZero"/>
        <c:auto val="1"/>
        <c:lblAlgn val="ctr"/>
        <c:lblOffset val="100"/>
        <c:noMultiLvlLbl val="0"/>
      </c:catAx>
      <c:valAx>
        <c:axId val="62780827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chemeClr val="tx1">
                    <a:lumMod val="65000"/>
                    <a:lumOff val="35000"/>
                  </a:schemeClr>
                </a:solidFill>
                <a:latin typeface="+mn-lt"/>
                <a:ea typeface="+mn-ea"/>
                <a:cs typeface="+mn-cs"/>
              </a:defRPr>
            </a:pPr>
          </a:p>
        </c:txPr>
        <c:crossAx val="4145555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射洪市武安镇文聚学校一般公共预算财政拨款支出结构图</a:t>
            </a:r>
          </a:p>
        </c:rich>
      </c:tx>
      <c:layout>
        <c:manualLayout>
          <c:xMode val="edge"/>
          <c:yMode val="edge"/>
          <c:x val="0.12282555682003"/>
          <c:y val="0.0297520661157025"/>
        </c:manualLayout>
      </c:layout>
      <c:overlay val="0"/>
      <c:spPr>
        <a:noFill/>
        <a:ln>
          <a:noFill/>
        </a:ln>
        <a:effectLst/>
      </c:spPr>
    </c:title>
    <c:autoTitleDeleted val="0"/>
    <c:plotArea>
      <c:layout/>
      <c:pieChart>
        <c:varyColors val="1"/>
        <c:ser>
          <c:idx val="0"/>
          <c:order val="0"/>
          <c:spPr/>
          <c:explosion val="3"/>
          <c:dPt>
            <c:idx val="0"/>
            <c:bubble3D val="0"/>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c:spPr>
          </c:dPt>
          <c:dPt>
            <c:idx val="1"/>
            <c:bubble3D val="0"/>
            <c:spPr>
              <a:gradFill>
                <a:gsLst>
                  <a:gs pos="0">
                    <a:schemeClr val="accent2">
                      <a:lumMod val="40000"/>
                      <a:lumOff val="60000"/>
                    </a:schemeClr>
                  </a:gs>
                  <a:gs pos="90000">
                    <a:schemeClr val="accent2"/>
                  </a:gs>
                </a:gsLst>
                <a:lin ang="5400000" scaled="0"/>
              </a:gradFill>
              <a:ln>
                <a:gradFill>
                  <a:gsLst>
                    <a:gs pos="0">
                      <a:schemeClr val="accent2"/>
                    </a:gs>
                    <a:gs pos="100000">
                      <a:schemeClr val="accent2">
                        <a:lumMod val="75000"/>
                      </a:schemeClr>
                    </a:gs>
                  </a:gsLst>
                  <a:lin ang="5400000" scaled="1"/>
                </a:gradFill>
              </a:ln>
              <a:effectLst/>
            </c:spPr>
          </c:dPt>
          <c:dPt>
            <c:idx val="2"/>
            <c:bubble3D val="0"/>
            <c:spPr>
              <a:gradFill>
                <a:gsLst>
                  <a:gs pos="0">
                    <a:schemeClr val="accent3">
                      <a:lumMod val="40000"/>
                      <a:lumOff val="60000"/>
                    </a:schemeClr>
                  </a:gs>
                  <a:gs pos="90000">
                    <a:schemeClr val="accent3"/>
                  </a:gs>
                </a:gsLst>
                <a:lin ang="5400000" scaled="0"/>
              </a:gradFill>
              <a:ln>
                <a:gradFill>
                  <a:gsLst>
                    <a:gs pos="0">
                      <a:schemeClr val="accent3"/>
                    </a:gs>
                    <a:gs pos="100000">
                      <a:schemeClr val="accent3">
                        <a:lumMod val="75000"/>
                      </a:schemeClr>
                    </a:gs>
                  </a:gsLst>
                  <a:lin ang="5400000" scaled="1"/>
                </a:gradFill>
              </a:ln>
              <a:effectLst/>
            </c:spPr>
          </c:dPt>
          <c:dPt>
            <c:idx val="3"/>
            <c:bubble3D val="0"/>
            <c:spPr>
              <a:gradFill>
                <a:gsLst>
                  <a:gs pos="0">
                    <a:schemeClr val="accent4">
                      <a:lumMod val="40000"/>
                      <a:lumOff val="60000"/>
                    </a:schemeClr>
                  </a:gs>
                  <a:gs pos="90000">
                    <a:schemeClr val="accent4"/>
                  </a:gs>
                </a:gsLst>
                <a:lin ang="5400000" scaled="0"/>
              </a:gradFill>
              <a:ln>
                <a:gradFill>
                  <a:gsLst>
                    <a:gs pos="0">
                      <a:schemeClr val="accent4"/>
                    </a:gs>
                    <a:gs pos="100000">
                      <a:schemeClr val="accent4">
                        <a:lumMod val="75000"/>
                      </a:schemeClr>
                    </a:gs>
                  </a:gsLst>
                  <a:lin ang="5400000" scaled="1"/>
                </a:gradFill>
              </a:ln>
              <a:effectLst/>
            </c:spPr>
          </c:dPt>
          <c:dPt>
            <c:idx val="4"/>
            <c:bubble3D val="0"/>
            <c:spPr>
              <a:gradFill>
                <a:gsLst>
                  <a:gs pos="0">
                    <a:schemeClr val="accent5">
                      <a:lumMod val="40000"/>
                      <a:lumOff val="60000"/>
                    </a:schemeClr>
                  </a:gs>
                  <a:gs pos="90000">
                    <a:schemeClr val="accent5"/>
                  </a:gs>
                </a:gsLst>
                <a:lin ang="5400000" scaled="0"/>
              </a:gradFill>
              <a:ln>
                <a:gradFill>
                  <a:gsLst>
                    <a:gs pos="0">
                      <a:schemeClr val="accent5"/>
                    </a:gs>
                    <a:gs pos="100000">
                      <a:schemeClr val="accent5">
                        <a:lumMod val="75000"/>
                      </a:schemeClr>
                    </a:gs>
                  </a:gsLst>
                  <a:lin ang="5400000" scaled="1"/>
                </a:gradFill>
              </a:ln>
              <a:effectLst/>
            </c:spPr>
          </c:dPt>
          <c:dLbls>
            <c:dLbl>
              <c:idx val="0"/>
              <c:layout>
                <c:manualLayout>
                  <c:x val="0.00178832710128434"/>
                  <c:y val="0"/>
                </c:manualLayout>
              </c:layout>
              <c:tx>
                <c:rich>
                  <a:bodyPr rot="0" spcFirstLastPara="0" vertOverflow="ellipsis" vert="horz" wrap="square" lIns="38100" tIns="19050" rIns="38100" bIns="19050" anchor="ctr" anchorCtr="1"/>
                  <a:lstStyle/>
                  <a:p>
                    <a:pPr defTabSz="914400">
                      <a:defRPr lang="zh-CN" sz="1000" b="1" i="0" u="none" strike="noStrike" kern="1200" spc="0" baseline="0">
                        <a:solidFill>
                          <a:schemeClr val="accent1"/>
                        </a:solidFill>
                        <a:latin typeface="+mn-lt"/>
                        <a:ea typeface="+mn-ea"/>
                        <a:cs typeface="+mn-cs"/>
                      </a:defRPr>
                    </a:pPr>
                    <a:r>
                      <a:t>教育支出74</a:t>
                    </a:r>
                    <a:r>
                      <a:rPr lang="en-US" altLang="zh-CN"/>
                      <a:t>.2</a:t>
                    </a:r>
                    <a:r>
                      <a:t>%</a:t>
                    </a:r>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0760851894000975"/>
                  <c:y val="0.121487603305785"/>
                </c:manualLayout>
              </c:layout>
              <c:tx>
                <c:rich>
                  <a:bodyPr rot="0" spcFirstLastPara="0" vertOverflow="ellipsis" vert="horz" wrap="square" lIns="38100" tIns="19050" rIns="38100" bIns="19050" anchor="ctr" anchorCtr="1"/>
                  <a:lstStyle/>
                  <a:p>
                    <a:pPr defTabSz="914400">
                      <a:defRPr lang="zh-CN" sz="1000" b="1" i="0" u="none" strike="noStrike" kern="1200" spc="0" baseline="0">
                        <a:solidFill>
                          <a:schemeClr val="accent2"/>
                        </a:solidFill>
                        <a:latin typeface="+mn-lt"/>
                        <a:ea typeface="+mn-ea"/>
                        <a:cs typeface="+mn-cs"/>
                      </a:defRPr>
                    </a:pPr>
                    <a:r>
                      <a:t>社会保障和就业支出14</a:t>
                    </a:r>
                    <a:r>
                      <a:rPr lang="en-US" altLang="zh-CN"/>
                      <a:t>.4</a:t>
                    </a:r>
                    <a:r>
                      <a:t>%</a:t>
                    </a:r>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2"/>
                      </a:solidFill>
                      <a:latin typeface="+mn-lt"/>
                      <a:ea typeface="+mn-ea"/>
                      <a:cs typeface="+mn-cs"/>
                    </a:defRPr>
                  </a:pPr>
                </a:p>
              </c:txPr>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146317671923265"/>
                  <c:y val="0.0471074380165289"/>
                </c:manualLayout>
              </c:layout>
              <c:tx>
                <c:rich>
                  <a:bodyPr rot="0" spcFirstLastPara="0" vertOverflow="ellipsis" vert="horz" wrap="square" lIns="38100" tIns="19050" rIns="38100" bIns="19050" anchor="ctr" anchorCtr="1"/>
                  <a:lstStyle/>
                  <a:p>
                    <a:pPr defTabSz="914400">
                      <a:defRPr lang="zh-CN" sz="1000" b="1" i="0" u="none" strike="noStrike" kern="1200" spc="0" baseline="0">
                        <a:solidFill>
                          <a:schemeClr val="accent3"/>
                        </a:solidFill>
                        <a:latin typeface="+mn-lt"/>
                        <a:ea typeface="+mn-ea"/>
                        <a:cs typeface="+mn-cs"/>
                      </a:defRPr>
                    </a:pPr>
                    <a:r>
                      <a:t>卫生健康支出</a:t>
                    </a:r>
                  </a:p>
                  <a:p>
                    <a:pPr defTabSz="914400">
                      <a:defRPr lang="zh-CN" sz="1000" b="1" i="0" u="none" strike="noStrike" kern="1200" spc="0" baseline="0">
                        <a:solidFill>
                          <a:schemeClr val="accent3"/>
                        </a:solidFill>
                        <a:latin typeface="+mn-lt"/>
                        <a:ea typeface="+mn-ea"/>
                        <a:cs typeface="+mn-cs"/>
                      </a:defRPr>
                    </a:pPr>
                    <a:r>
                      <a:rPr lang="en-US" altLang="zh-CN"/>
                      <a:t>3.9</a:t>
                    </a:r>
                    <a:r>
                      <a:t>%</a:t>
                    </a:r>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3"/>
                      </a:solidFill>
                      <a:latin typeface="+mn-lt"/>
                      <a:ea typeface="+mn-ea"/>
                      <a:cs typeface="+mn-cs"/>
                    </a:defRPr>
                  </a:pPr>
                </a:p>
              </c:txPr>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3"/>
              <c:layout>
                <c:manualLayout>
                  <c:x val="0.00195090229231019"/>
                  <c:y val="-0.00247933884297521"/>
                </c:manualLayout>
              </c:layout>
              <c:tx>
                <c:rich>
                  <a:bodyPr rot="0" spcFirstLastPara="0" vertOverflow="ellipsis" vert="horz" wrap="square" lIns="38100" tIns="19050" rIns="38100" bIns="19050" anchor="ctr" anchorCtr="1"/>
                  <a:lstStyle/>
                  <a:p>
                    <a:pPr defTabSz="914400">
                      <a:defRPr lang="zh-CN" sz="1000" b="1" i="0" u="none" strike="noStrike" kern="1200" spc="0" baseline="0">
                        <a:solidFill>
                          <a:schemeClr val="accent4"/>
                        </a:solidFill>
                        <a:latin typeface="+mn-lt"/>
                        <a:ea typeface="+mn-ea"/>
                        <a:cs typeface="+mn-cs"/>
                      </a:defRPr>
                    </a:pPr>
                    <a:r>
                      <a:t>农林水支出</a:t>
                    </a:r>
                  </a:p>
                  <a:p>
                    <a:pPr defTabSz="914400">
                      <a:defRPr lang="zh-CN" sz="1000" b="1" i="0" u="none" strike="noStrike" kern="1200" spc="0" baseline="0">
                        <a:solidFill>
                          <a:schemeClr val="accent4"/>
                        </a:solidFill>
                        <a:latin typeface="+mn-lt"/>
                        <a:ea typeface="+mn-ea"/>
                        <a:cs typeface="+mn-cs"/>
                      </a:defRPr>
                    </a:pPr>
                    <a:r>
                      <a:rPr lang="en-US" altLang="zh-CN"/>
                      <a:t>0.9</a:t>
                    </a:r>
                    <a:r>
                      <a:t>%</a:t>
                    </a:r>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4"/>
                      </a:solidFill>
                      <a:latin typeface="+mn-lt"/>
                      <a:ea typeface="+mn-ea"/>
                      <a:cs typeface="+mn-cs"/>
                    </a:defRPr>
                  </a:pPr>
                </a:p>
              </c:txPr>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4"/>
              <c:layout>
                <c:manualLayout>
                  <c:x val="0.212648349861811"/>
                  <c:y val="0.0869853478103609"/>
                </c:manualLayout>
              </c:layout>
              <c:tx>
                <c:rich>
                  <a:bodyPr rot="0" spcFirstLastPara="0" vertOverflow="ellipsis" vert="horz" wrap="square" lIns="38100" tIns="19050" rIns="38100" bIns="19050" anchor="ctr" anchorCtr="1"/>
                  <a:lstStyle/>
                  <a:p>
                    <a:pPr defTabSz="914400">
                      <a:defRPr lang="zh-CN" sz="1000" b="1" i="0" u="none" strike="noStrike" kern="1200" spc="0" baseline="0">
                        <a:solidFill>
                          <a:schemeClr val="accent5"/>
                        </a:solidFill>
                        <a:latin typeface="+mn-lt"/>
                        <a:ea typeface="+mn-ea"/>
                        <a:cs typeface="+mn-cs"/>
                      </a:defRPr>
                    </a:pPr>
                    <a:r>
                      <a:t>住房保障支出</a:t>
                    </a:r>
                  </a:p>
                  <a:p>
                    <a:pPr defTabSz="914400">
                      <a:defRPr lang="zh-CN" sz="1000" b="1" i="0" u="none" strike="noStrike" kern="1200" spc="0" baseline="0">
                        <a:solidFill>
                          <a:schemeClr val="accent5"/>
                        </a:solidFill>
                        <a:latin typeface="+mn-lt"/>
                        <a:ea typeface="+mn-ea"/>
                        <a:cs typeface="+mn-cs"/>
                      </a:defRPr>
                    </a:pPr>
                    <a:r>
                      <a:rPr lang="en-US" altLang="zh-CN"/>
                      <a:t>6.6</a:t>
                    </a:r>
                    <a:r>
                      <a:t>%</a:t>
                    </a:r>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5"/>
                      </a:solidFill>
                      <a:latin typeface="+mn-lt"/>
                      <a:ea typeface="+mn-ea"/>
                      <a:cs typeface="+mn-cs"/>
                    </a:defRPr>
                  </a:pPr>
                </a:p>
              </c:txPr>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outEnd"/>
            <c:showLegendKey val="1"/>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[决算工具表二大.xlsx]文J!$A$141:$A$145</c:f>
              <c:strCache>
                <c:ptCount val="5"/>
                <c:pt idx="0">
                  <c:v>教育支出</c:v>
                </c:pt>
                <c:pt idx="1">
                  <c:v>社会保障和就业支出</c:v>
                </c:pt>
                <c:pt idx="2">
                  <c:v>卫生健康支出</c:v>
                </c:pt>
                <c:pt idx="3">
                  <c:v>农林水支出</c:v>
                </c:pt>
                <c:pt idx="4">
                  <c:v>住房保障支出</c:v>
                </c:pt>
              </c:strCache>
            </c:strRef>
          </c:cat>
          <c:val>
            <c:numRef>
              <c:f>[决算工具表二大.xlsx]文J!$B$141:$B$145</c:f>
              <c:numCache>
                <c:formatCode>General</c:formatCode>
                <c:ptCount val="5"/>
                <c:pt idx="0">
                  <c:v>409.51</c:v>
                </c:pt>
                <c:pt idx="1">
                  <c:v>79.35</c:v>
                </c:pt>
                <c:pt idx="2">
                  <c:v>21.47</c:v>
                </c:pt>
                <c:pt idx="3">
                  <c:v>4.93</c:v>
                </c:pt>
                <c:pt idx="4">
                  <c:v>36.73</c:v>
                </c:pt>
              </c:numCache>
            </c:numRef>
          </c:val>
        </c:ser>
        <c:dLbls>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射洪市武安镇文聚学校“三公”经费支出占比分析</a:t>
            </a:r>
          </a:p>
        </c:rich>
      </c:tx>
      <c:layout>
        <c:manualLayout>
          <c:xMode val="edge"/>
          <c:yMode val="edge"/>
          <c:x val="0.160559305689489"/>
          <c:y val="0.00686655985351339"/>
        </c:manualLayout>
      </c:layout>
      <c:overlay val="0"/>
      <c:spPr>
        <a:noFill/>
        <a:ln>
          <a:noFill/>
        </a:ln>
        <a:effectLst/>
      </c:sp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spPr>
            <a:scene3d>
              <a:camera prst="orthographicFront"/>
              <a:lightRig rig="threePt" dir="t"/>
            </a:scene3d>
            <a:sp3d contourW="9525"/>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dLbl>
              <c:idx val="1"/>
              <c:layout>
                <c:manualLayout>
                  <c:x val="0.210556085705644"/>
                  <c:y val="0.0533636682469893"/>
                </c:manualLayout>
              </c:layout>
              <c:dLblPos val="bestFit"/>
              <c:showLegendKey val="0"/>
              <c:showVal val="1"/>
              <c:showCatName val="1"/>
              <c:showSerName val="0"/>
              <c:showPercent val="1"/>
              <c:showBubbleSize val="0"/>
              <c:extLst>
                <c:ext xmlns:c15="http://schemas.microsoft.com/office/drawing/2012/chart" uri="{CE6537A1-D6FC-4f65-9D91-7224C49458BB}">
                  <c15:layout/>
                </c:ext>
              </c:extLst>
            </c:dLbl>
            <c:dLbl>
              <c:idx val="2"/>
              <c:layout>
                <c:manualLayout>
                  <c:x val="-0.117771129470034"/>
                  <c:y val="-0.00962494019482717"/>
                </c:manualLayout>
              </c:layout>
              <c:dLblPos val="bestFit"/>
              <c:showLegendKey val="0"/>
              <c:showVal val="1"/>
              <c:showCatName val="1"/>
              <c:showSerName val="0"/>
              <c:showPercent val="1"/>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[决算工具表二大.xlsx]文J!$A$170:$A$172</c:f>
              <c:strCache>
                <c:ptCount val="3"/>
                <c:pt idx="0">
                  <c:v>公务接待费</c:v>
                </c:pt>
                <c:pt idx="1">
                  <c:v>公务用车购置及运行维护费</c:v>
                </c:pt>
                <c:pt idx="2">
                  <c:v>因公出国（境）费</c:v>
                </c:pt>
              </c:strCache>
            </c:strRef>
          </c:cat>
          <c:val>
            <c:numRef>
              <c:f>[决算工具表二大.xlsx]文J!$B$170:$B$172</c:f>
              <c:numCache>
                <c:formatCode>General</c:formatCode>
                <c:ptCount val="3"/>
                <c:pt idx="0">
                  <c:v>0.15</c:v>
                </c:pt>
                <c:pt idx="1">
                  <c:v>0</c:v>
                </c:pt>
                <c:pt idx="2">
                  <c:v>0</c:v>
                </c:pt>
              </c:numCache>
            </c:numRef>
          </c:val>
        </c:ser>
        <c:dLbls>
          <c:showLegendKey val="0"/>
          <c:showVal val="1"/>
          <c:showCatName val="0"/>
          <c:showSerName val="0"/>
          <c:showPercent val="0"/>
          <c:showBubbleSize val="0"/>
        </c:dLbls>
      </c:pie3D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cs:styleClr val="auto"/>
    </cs:fontRef>
    <cs:defRPr sz="1000" b="1" i="0" u="none" strike="noStrike" kern="1200" spc="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lumMod val="40000"/>
              <a:lumOff val="60000"/>
            </a:schemeClr>
          </a:gs>
          <a:gs pos="90000">
            <a:schemeClr val="phClr"/>
          </a:gs>
        </a:gsLst>
        <a:lin ang="5400000" scaled="0"/>
      </a:gradFill>
      <a:ln>
        <a:gradFill>
          <a:gsLst>
            <a:gs pos="0">
              <a:schemeClr val="phClr"/>
            </a:gs>
            <a:gs pos="100000">
              <a:schemeClr val="phClr">
                <a:lumMod val="75000"/>
              </a:schemeClr>
            </a:gs>
          </a:gsLst>
          <a:lin ang="5400000" scaled="1"/>
        </a:gra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9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styleClr val="auto"/>
    </cs:lnRef>
    <cs:fillRef idx="1">
      <cs:styleClr val="auto"/>
    </cs:fillRef>
    <cs:effectRef idx="0"/>
    <cs:fontRef idx="minor">
      <a:schemeClr val="dk1"/>
    </cs:fontRef>
    <cs:spPr>
      <a:ln>
        <a:solidFill>
          <a:schemeClr val="bg1"/>
        </a:solidFill>
      </a:ln>
      <a:effectLst/>
      <a:scene3d>
        <a:camera prst="orthographicFront"/>
        <a:lightRig rig="threePt" dir="t"/>
      </a:scene3d>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11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lumMod val="40000"/>
              <a:lumOff val="60000"/>
            </a:schemeClr>
          </a:gs>
          <a:gs pos="90000">
            <a:schemeClr val="phClr"/>
          </a:gs>
        </a:gsLst>
        <a:lin ang="5400000" scaled="0"/>
      </a:gradFill>
      <a:ln>
        <a:gradFill>
          <a:gsLst>
            <a:gs pos="0">
              <a:schemeClr val="phClr"/>
            </a:gs>
            <a:gs pos="100000">
              <a:schemeClr val="phClr">
                <a:lumMod val="75000"/>
              </a:schemeClr>
            </a:gs>
          </a:gsLst>
          <a:lin ang="5400000" scaled="1"/>
        </a:gra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自定义 13">
    <a:dk1>
      <a:srgbClr val="000000"/>
    </a:dk1>
    <a:lt1>
      <a:srgbClr val="FFFFFF"/>
    </a:lt1>
    <a:dk2>
      <a:srgbClr val="DEF8FF"/>
    </a:dk2>
    <a:lt2>
      <a:srgbClr val="B9D2FD"/>
    </a:lt2>
    <a:accent1>
      <a:srgbClr val="33BAFF"/>
    </a:accent1>
    <a:accent2>
      <a:srgbClr val="FE8932"/>
    </a:accent2>
    <a:accent3>
      <a:srgbClr val="6C92FD"/>
    </a:accent3>
    <a:accent4>
      <a:srgbClr val="FB5F36"/>
    </a:accent4>
    <a:accent5>
      <a:srgbClr val="875AFA"/>
    </a:accent5>
    <a:accent6>
      <a:srgbClr val="1580F9"/>
    </a:accent6>
    <a:hlink>
      <a:srgbClr val="141E26"/>
    </a:hlink>
    <a:folHlink>
      <a:srgbClr val="4C579B"/>
    </a:folHlink>
  </a:clrScheme>
  <a:fontScheme name="自定义 2">
    <a:majorFont>
      <a:latin typeface="微软雅黑"/>
      <a:ea typeface="微软雅黑"/>
      <a:cs typeface=""/>
    </a:majorFont>
    <a:minorFont>
      <a:latin typeface="微软雅黑"/>
      <a:ea typeface="微软雅黑"/>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多彩-12">
    <a:dk1>
      <a:srgbClr val="000000"/>
    </a:dk1>
    <a:lt1>
      <a:srgbClr val="FFFFFF"/>
    </a:lt1>
    <a:dk2>
      <a:srgbClr val="000000"/>
    </a:dk2>
    <a:lt2>
      <a:srgbClr val="FEFFFF"/>
    </a:lt2>
    <a:accent1>
      <a:srgbClr val="FFAD09"/>
    </a:accent1>
    <a:accent2>
      <a:srgbClr val="FD423D"/>
    </a:accent2>
    <a:accent3>
      <a:srgbClr val="71C840"/>
    </a:accent3>
    <a:accent4>
      <a:srgbClr val="3C7EEA"/>
    </a:accent4>
    <a:accent5>
      <a:srgbClr val="7455D9"/>
    </a:accent5>
    <a:accent6>
      <a:srgbClr val="FF6B43"/>
    </a:accent6>
    <a:hlink>
      <a:srgbClr val="304FFE"/>
    </a:hlink>
    <a:folHlink>
      <a:srgbClr val="00A3F4"/>
    </a:folHlink>
  </a:clrScheme>
  <a:fontScheme name="微软雅黑">
    <a:majorFont>
      <a:latin typeface="Arial"/>
      <a:ea typeface="微软雅黑"/>
      <a:cs typeface=""/>
    </a:majorFont>
    <a:minorFont>
      <a:latin typeface="Arial"/>
      <a:ea typeface="微软雅黑"/>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多彩-12">
    <a:dk1>
      <a:srgbClr val="000000"/>
    </a:dk1>
    <a:lt1>
      <a:srgbClr val="FFFFFF"/>
    </a:lt1>
    <a:dk2>
      <a:srgbClr val="000000"/>
    </a:dk2>
    <a:lt2>
      <a:srgbClr val="FEFFFF"/>
    </a:lt2>
    <a:accent1>
      <a:srgbClr val="FFAD09"/>
    </a:accent1>
    <a:accent2>
      <a:srgbClr val="FD423D"/>
    </a:accent2>
    <a:accent3>
      <a:srgbClr val="71C840"/>
    </a:accent3>
    <a:accent4>
      <a:srgbClr val="3C7EEA"/>
    </a:accent4>
    <a:accent5>
      <a:srgbClr val="7455D9"/>
    </a:accent5>
    <a:accent6>
      <a:srgbClr val="FF6B43"/>
    </a:accent6>
    <a:hlink>
      <a:srgbClr val="304FFE"/>
    </a:hlink>
    <a:folHlink>
      <a:srgbClr val="00A3F4"/>
    </a:folHlink>
  </a:clrScheme>
  <a:fontScheme name="微软雅黑">
    <a:majorFont>
      <a:latin typeface="Arial"/>
      <a:ea typeface="微软雅黑"/>
      <a:cs typeface=""/>
    </a:majorFont>
    <a:minorFont>
      <a:latin typeface="Arial"/>
      <a:ea typeface="微软雅黑"/>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Company>四川省财政厅</Company>
  <Pages>19</Pages>
  <Words>6044</Words>
  <Characters>6669</Characters>
  <Lines>54</Lines>
  <Paragraphs>15</Paragraphs>
  <TotalTime>3</TotalTime>
  <ScaleCrop>false</ScaleCrop>
  <LinksUpToDate>false</LinksUpToDate>
  <CharactersWithSpaces>6775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2020-08-08T01:49:00Z</dcterms:created>
  <dc:creator>曹颖</dc:creator>
  <cp:lastModifiedBy>射洪市市教育体育局</cp:lastModifiedBy>
  <cp:lastPrinted>2024-09-10T13:06:00Z</cp:lastPrinted>
  <dcterms:modified xsi:type="dcterms:W3CDTF">2024-09-28T09:33:54Z</dcterms:modified>
  <dc:title>四川省***</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2B831203729B44FDA3C778471D42C91D_12</vt:lpwstr>
  </property>
</Properties>
</file>