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171A">
      <w:pPr>
        <w:spacing w:line="600" w:lineRule="exact"/>
        <w:jc w:val="left"/>
        <w:outlineLvl w:val="0"/>
        <w:rPr>
          <w:rFonts w:ascii="方正小标宋简体" w:hAnsi="宋体" w:eastAsia="方正小标宋简体"/>
          <w:szCs w:val="21"/>
        </w:rPr>
      </w:pPr>
      <w:bookmarkStart w:id="0" w:name="_Toc15306267"/>
    </w:p>
    <w:p w14:paraId="552538EB">
      <w:pPr>
        <w:pStyle w:val="2"/>
      </w:pPr>
    </w:p>
    <w:p w14:paraId="566C3ACF">
      <w:pPr>
        <w:spacing w:line="600" w:lineRule="exact"/>
        <w:jc w:val="center"/>
        <w:outlineLvl w:val="0"/>
        <w:rPr>
          <w:rFonts w:ascii="方正小标宋简体" w:hAnsi="宋体" w:eastAsia="方正小标宋简体"/>
          <w:sz w:val="72"/>
          <w:szCs w:val="72"/>
        </w:rPr>
      </w:pPr>
    </w:p>
    <w:p w14:paraId="1ED535AE">
      <w:pPr>
        <w:spacing w:line="600" w:lineRule="exact"/>
        <w:jc w:val="center"/>
        <w:outlineLvl w:val="0"/>
        <w:rPr>
          <w:rFonts w:ascii="方正小标宋简体" w:hAnsi="宋体" w:eastAsia="方正小标宋简体"/>
          <w:sz w:val="72"/>
          <w:szCs w:val="72"/>
        </w:rPr>
      </w:pPr>
    </w:p>
    <w:p w14:paraId="74B7465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77425"/>
      <w:bookmarkStart w:id="4" w:name="_Toc15396597"/>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56AEEF5A">
      <w:pPr>
        <w:adjustRightInd w:val="0"/>
        <w:snapToGrid w:val="0"/>
        <w:spacing w:line="360" w:lineRule="auto"/>
        <w:jc w:val="center"/>
        <w:outlineLvl w:val="0"/>
        <w:rPr>
          <w:rFonts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射洪市太乙镇白龙小学校</w:t>
      </w:r>
    </w:p>
    <w:p w14:paraId="3A59564E">
      <w:pPr>
        <w:pStyle w:val="2"/>
        <w:rPr>
          <w:rFonts w:hint="eastAsia"/>
        </w:rPr>
      </w:pPr>
      <w:r>
        <w:rPr>
          <w:rFonts w:hint="eastAsia"/>
        </w:rPr>
        <w:t>单位决算公开</w:t>
      </w:r>
    </w:p>
    <w:p w14:paraId="5EFB1071">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14:paraId="0059DD9B">
      <w:pPr>
        <w:widowControl/>
        <w:jc w:val="center"/>
        <w:rPr>
          <w:rFonts w:ascii="黑体" w:hAnsi="黑体" w:eastAsia="黑体"/>
          <w:sz w:val="48"/>
          <w:szCs w:val="48"/>
        </w:rPr>
      </w:pPr>
      <w:r>
        <w:rPr>
          <w:rFonts w:hint="eastAsia" w:ascii="黑体" w:hAnsi="黑体" w:eastAsia="黑体"/>
          <w:sz w:val="48"/>
          <w:szCs w:val="48"/>
        </w:rPr>
        <w:t>目录</w:t>
      </w:r>
    </w:p>
    <w:p w14:paraId="322171FB">
      <w:pPr>
        <w:pStyle w:val="11"/>
        <w:rPr>
          <w:rFonts w:hint="eastAsia"/>
        </w:rPr>
      </w:pPr>
      <w:r>
        <w:rPr>
          <w:rFonts w:hint="eastAsia"/>
        </w:rPr>
        <w:t>公开时间：2024年9月15日</w:t>
      </w:r>
    </w:p>
    <w:p w14:paraId="2DA45869">
      <w:pPr>
        <w:pStyle w:val="11"/>
        <w:keepNext w:val="0"/>
        <w:keepLines w:val="0"/>
        <w:pageBreakBefore w:val="0"/>
        <w:widowControl w:val="0"/>
        <w:kinsoku/>
        <w:wordWrap/>
        <w:overflowPunct/>
        <w:topLinePunct w:val="0"/>
        <w:autoSpaceDE/>
        <w:autoSpaceDN/>
        <w:bidi w:val="0"/>
        <w:adjustRightInd w:val="0"/>
        <w:snapToGrid w:val="0"/>
        <w:spacing w:before="0" w:line="440" w:lineRule="exact"/>
        <w:jc w:val="right"/>
        <w:textAlignment w:val="auto"/>
        <w:rPr>
          <w:rFonts w:cstheme="minorBidi"/>
          <w:sz w:val="24"/>
          <w:szCs w:val="24"/>
        </w:rPr>
      </w:pPr>
      <w:r>
        <w:rPr>
          <w:rFonts w:hint="eastAsia"/>
          <w:sz w:val="24"/>
        </w:rPr>
        <w:t>第一部分</w:t>
      </w:r>
      <w:r>
        <w:rPr>
          <w:sz w:val="24"/>
        </w:rPr>
        <w:t xml:space="preserve"> </w:t>
      </w:r>
      <w:r>
        <w:rPr>
          <w:rFonts w:hint="eastAsia"/>
          <w:sz w:val="24"/>
        </w:rPr>
        <w:t xml:space="preserve">单位概况 </w:t>
      </w:r>
      <w:bookmarkStart w:id="6" w:name="_Hlk176176229"/>
      <w:r>
        <w:rPr>
          <w:sz w:val="24"/>
        </w:rPr>
        <w:t>……………………………………………………………</w:t>
      </w:r>
      <w:bookmarkStart w:id="7" w:name="_Hlk176176319"/>
      <w:r>
        <w:rPr>
          <w:sz w:val="24"/>
        </w:rPr>
        <w:t>…</w:t>
      </w:r>
      <w:bookmarkEnd w:id="6"/>
      <w:bookmarkEnd w:id="7"/>
      <w:r>
        <w:rPr>
          <w:rFonts w:hint="eastAsia"/>
          <w:sz w:val="24"/>
        </w:rPr>
        <w:t>…</w:t>
      </w:r>
      <w:r>
        <w:rPr>
          <w:sz w:val="24"/>
        </w:rPr>
        <w:t>4</w:t>
      </w:r>
    </w:p>
    <w:p w14:paraId="5D6462E8">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sz w:val="24"/>
        </w:rPr>
      </w:pPr>
      <w:r>
        <w:rPr>
          <w:rFonts w:hint="eastAsia"/>
          <w:sz w:val="24"/>
        </w:rPr>
        <w:t>一、主要职责 ……………………………………………………………………4</w:t>
      </w:r>
    </w:p>
    <w:p w14:paraId="17FE67DD">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pPr>
      <w:r>
        <w:rPr>
          <w:rFonts w:hint="eastAsia"/>
          <w:sz w:val="24"/>
        </w:rPr>
        <w:t>二、机构设置 ……………………………………………………………………4</w:t>
      </w:r>
    </w:p>
    <w:p w14:paraId="7A0872AB">
      <w:pPr>
        <w:pStyle w:val="11"/>
        <w:keepNext w:val="0"/>
        <w:keepLines w:val="0"/>
        <w:pageBreakBefore w:val="0"/>
        <w:widowControl w:val="0"/>
        <w:kinsoku/>
        <w:wordWrap/>
        <w:overflowPunct/>
        <w:topLinePunct w:val="0"/>
        <w:autoSpaceDE/>
        <w:autoSpaceDN/>
        <w:bidi w:val="0"/>
        <w:adjustRightInd w:val="0"/>
        <w:snapToGrid w:val="0"/>
        <w:spacing w:before="0" w:line="440" w:lineRule="exact"/>
        <w:jc w:val="right"/>
        <w:textAlignment w:val="auto"/>
        <w:rPr>
          <w:sz w:val="24"/>
          <w:szCs w:val="24"/>
        </w:rPr>
      </w:pPr>
      <w:r>
        <w:rPr>
          <w:rFonts w:hint="eastAsia"/>
          <w:sz w:val="24"/>
        </w:rPr>
        <w:t>第二部分 2023年度单位决算情况说明</w:t>
      </w:r>
      <w:r>
        <w:rPr>
          <w:sz w:val="24"/>
        </w:rPr>
        <w:t>…………………………………………</w:t>
      </w:r>
      <w:r>
        <w:rPr>
          <w:rFonts w:hint="eastAsia"/>
          <w:sz w:val="24"/>
        </w:rPr>
        <w:t>…</w:t>
      </w:r>
      <w:r>
        <w:rPr>
          <w:sz w:val="24"/>
        </w:rPr>
        <w:t>5</w:t>
      </w:r>
    </w:p>
    <w:p w14:paraId="6E09B621">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14:paraId="5245F5B2">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14:paraId="488128E5">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14:paraId="73A06FED">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6</w:t>
      </w:r>
    </w:p>
    <w:p w14:paraId="3C483EE5">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14:paraId="51F5D400">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9</w:t>
      </w:r>
    </w:p>
    <w:p w14:paraId="2AFFAC37">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10</w:t>
      </w:r>
    </w:p>
    <w:p w14:paraId="2123194D">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11</w:t>
      </w:r>
    </w:p>
    <w:p w14:paraId="454A4ED8">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九、国有资本经营预算支出决算情况说明……………………………………</w:t>
      </w:r>
      <w:r>
        <w:rPr>
          <w:rFonts w:hint="eastAsia"/>
          <w:sz w:val="24"/>
          <w:lang w:val="en-US" w:eastAsia="zh-CN"/>
        </w:rPr>
        <w:t>11</w:t>
      </w:r>
    </w:p>
    <w:p w14:paraId="76DAF415">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十、其他重要事项的情况说明…………………………………………………</w:t>
      </w:r>
      <w:r>
        <w:rPr>
          <w:rFonts w:hint="eastAsia"/>
          <w:sz w:val="24"/>
          <w:lang w:val="en-US" w:eastAsia="zh-CN"/>
        </w:rPr>
        <w:t>11</w:t>
      </w:r>
    </w:p>
    <w:p w14:paraId="1339C37F">
      <w:pPr>
        <w:pStyle w:val="11"/>
        <w:keepNext w:val="0"/>
        <w:keepLines w:val="0"/>
        <w:pageBreakBefore w:val="0"/>
        <w:widowControl w:val="0"/>
        <w:kinsoku/>
        <w:wordWrap/>
        <w:overflowPunct/>
        <w:topLinePunct w:val="0"/>
        <w:autoSpaceDE/>
        <w:autoSpaceDN/>
        <w:bidi w:val="0"/>
        <w:adjustRightInd w:val="0"/>
        <w:snapToGrid w:val="0"/>
        <w:spacing w:before="0" w:line="440" w:lineRule="exact"/>
        <w:jc w:val="right"/>
        <w:textAlignment w:val="auto"/>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sz w:val="24"/>
        </w:rPr>
        <w:t>…………………………………………</w:t>
      </w:r>
      <w:r>
        <w:rPr>
          <w:rFonts w:hint="eastAsia"/>
          <w:sz w:val="24"/>
        </w:rPr>
        <w:t>………………………</w:t>
      </w:r>
      <w:r>
        <w:rPr>
          <w:rFonts w:hint="eastAsia"/>
          <w:sz w:val="24"/>
          <w:lang w:val="en-US" w:eastAsia="zh-CN"/>
        </w:rPr>
        <w:t>13</w:t>
      </w:r>
    </w:p>
    <w:p w14:paraId="7913F0CE">
      <w:pPr>
        <w:pStyle w:val="11"/>
        <w:keepNext w:val="0"/>
        <w:keepLines w:val="0"/>
        <w:pageBreakBefore w:val="0"/>
        <w:widowControl w:val="0"/>
        <w:kinsoku/>
        <w:wordWrap/>
        <w:overflowPunct/>
        <w:topLinePunct w:val="0"/>
        <w:autoSpaceDE/>
        <w:autoSpaceDN/>
        <w:bidi w:val="0"/>
        <w:adjustRightInd w:val="0"/>
        <w:snapToGrid w:val="0"/>
        <w:spacing w:before="0" w:line="440" w:lineRule="exact"/>
        <w:jc w:val="right"/>
        <w:textAlignment w:val="auto"/>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sz w:val="24"/>
        </w:rPr>
        <w:t>…………………………………………</w:t>
      </w:r>
      <w:r>
        <w:rPr>
          <w:rFonts w:hint="eastAsia"/>
          <w:sz w:val="24"/>
        </w:rPr>
        <w:t>……………………………</w:t>
      </w:r>
      <w:r>
        <w:rPr>
          <w:rFonts w:hint="eastAsia"/>
          <w:sz w:val="24"/>
          <w:lang w:val="en-US" w:eastAsia="zh-CN"/>
        </w:rPr>
        <w:t>15</w:t>
      </w:r>
    </w:p>
    <w:p w14:paraId="6692F804">
      <w:pPr>
        <w:pStyle w:val="11"/>
        <w:keepNext w:val="0"/>
        <w:keepLines w:val="0"/>
        <w:pageBreakBefore w:val="0"/>
        <w:widowControl w:val="0"/>
        <w:kinsoku/>
        <w:wordWrap/>
        <w:overflowPunct/>
        <w:topLinePunct w:val="0"/>
        <w:autoSpaceDE/>
        <w:autoSpaceDN/>
        <w:bidi w:val="0"/>
        <w:adjustRightInd w:val="0"/>
        <w:snapToGrid w:val="0"/>
        <w:spacing w:before="0" w:line="440" w:lineRule="exact"/>
        <w:jc w:val="right"/>
        <w:textAlignment w:val="auto"/>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sz w:val="24"/>
        </w:rPr>
        <w:t>…………………………………………</w:t>
      </w:r>
      <w:r>
        <w:rPr>
          <w:rFonts w:hint="eastAsia"/>
          <w:sz w:val="24"/>
        </w:rPr>
        <w:t>……………………………</w:t>
      </w:r>
      <w:r>
        <w:rPr>
          <w:rFonts w:hint="eastAsia"/>
          <w:sz w:val="24"/>
          <w:lang w:val="en-US" w:eastAsia="zh-CN"/>
        </w:rPr>
        <w:t>17</w:t>
      </w:r>
    </w:p>
    <w:p w14:paraId="2B3859A4">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一、收入支出决算总表…………………………………………………………</w:t>
      </w:r>
      <w:r>
        <w:rPr>
          <w:rFonts w:hint="eastAsia"/>
          <w:sz w:val="24"/>
          <w:lang w:val="en-US" w:eastAsia="zh-CN"/>
        </w:rPr>
        <w:t>17</w:t>
      </w:r>
    </w:p>
    <w:p w14:paraId="2446ADEF">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二、收入决算表…………………………………………………………………</w:t>
      </w:r>
      <w:r>
        <w:rPr>
          <w:rFonts w:hint="eastAsia"/>
          <w:sz w:val="24"/>
          <w:lang w:val="en-US" w:eastAsia="zh-CN"/>
        </w:rPr>
        <w:t>17</w:t>
      </w:r>
    </w:p>
    <w:p w14:paraId="12E118F7">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三、支出决算表…………………………………………………………………</w:t>
      </w:r>
      <w:r>
        <w:rPr>
          <w:rFonts w:hint="eastAsia"/>
          <w:sz w:val="24"/>
          <w:lang w:val="en-US" w:eastAsia="zh-CN"/>
        </w:rPr>
        <w:t>17</w:t>
      </w:r>
    </w:p>
    <w:p w14:paraId="6744AFF9">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四、财政拨款收入支出决算总表………………………………………………</w:t>
      </w:r>
      <w:r>
        <w:rPr>
          <w:rFonts w:hint="eastAsia"/>
          <w:sz w:val="24"/>
          <w:lang w:val="en-US" w:eastAsia="zh-CN"/>
        </w:rPr>
        <w:t>17</w:t>
      </w:r>
    </w:p>
    <w:p w14:paraId="797EC18F">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五、财政拨款支出决算明细表…………………………………………………</w:t>
      </w:r>
      <w:r>
        <w:rPr>
          <w:rFonts w:hint="eastAsia"/>
          <w:sz w:val="24"/>
          <w:lang w:val="en-US" w:eastAsia="zh-CN"/>
        </w:rPr>
        <w:t>17</w:t>
      </w:r>
    </w:p>
    <w:p w14:paraId="0A27C601">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六、一般公共预算财政拨款支出决算表………………………………………</w:t>
      </w:r>
      <w:r>
        <w:rPr>
          <w:rFonts w:hint="eastAsia"/>
          <w:sz w:val="24"/>
          <w:lang w:val="en-US" w:eastAsia="zh-CN"/>
        </w:rPr>
        <w:t>17</w:t>
      </w:r>
    </w:p>
    <w:p w14:paraId="2A5D2CF1">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七、一般公共预算财政拨款支出决算明细表…………………………………</w:t>
      </w:r>
      <w:r>
        <w:rPr>
          <w:rFonts w:hint="eastAsia"/>
          <w:sz w:val="24"/>
          <w:lang w:val="en-US" w:eastAsia="zh-CN"/>
        </w:rPr>
        <w:t>17</w:t>
      </w:r>
    </w:p>
    <w:p w14:paraId="735298C3">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17</w:t>
      </w:r>
    </w:p>
    <w:p w14:paraId="6041C4B9">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九、一般公共预算财政拨款项目支出决算表…………………………………</w:t>
      </w:r>
      <w:r>
        <w:rPr>
          <w:rFonts w:hint="eastAsia"/>
          <w:sz w:val="24"/>
          <w:lang w:val="en-US" w:eastAsia="zh-CN"/>
        </w:rPr>
        <w:t>17</w:t>
      </w:r>
    </w:p>
    <w:p w14:paraId="5033919A">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17</w:t>
      </w:r>
    </w:p>
    <w:p w14:paraId="79B2FB6C">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17</w:t>
      </w:r>
    </w:p>
    <w:p w14:paraId="20A2F21C">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17</w:t>
      </w:r>
    </w:p>
    <w:p w14:paraId="1AC30EDA">
      <w:pPr>
        <w:pStyle w:val="12"/>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eastAsia="宋体"/>
          <w:sz w:val="24"/>
          <w:lang w:val="en-US" w:eastAsia="zh-CN"/>
        </w:rPr>
      </w:pPr>
      <w:r>
        <w:rPr>
          <w:rFonts w:hint="eastAsia"/>
          <w:sz w:val="24"/>
        </w:rPr>
        <w:t>十三、财政拨款“三公”经费支出决算表…………………………………</w:t>
      </w:r>
      <w:bookmarkStart w:id="8" w:name="_Toc15377196"/>
      <w:bookmarkStart w:id="9" w:name="_Toc15396599"/>
      <w:r>
        <w:rPr>
          <w:rFonts w:hint="eastAsia"/>
          <w:sz w:val="24"/>
        </w:rPr>
        <w:t>…</w:t>
      </w:r>
      <w:r>
        <w:rPr>
          <w:rFonts w:hint="eastAsia"/>
          <w:sz w:val="24"/>
          <w:lang w:val="en-US" w:eastAsia="zh-CN"/>
        </w:rPr>
        <w:t>17</w:t>
      </w:r>
    </w:p>
    <w:p w14:paraId="6B8E3810">
      <w:pPr>
        <w:pStyle w:val="3"/>
      </w:pPr>
    </w:p>
    <w:p w14:paraId="05F6AA49">
      <w:pPr>
        <w:pStyle w:val="3"/>
        <w:rPr>
          <w:rFonts w:hint="eastAsia"/>
        </w:rPr>
      </w:pPr>
    </w:p>
    <w:p w14:paraId="7E0650E2">
      <w:pPr>
        <w:pStyle w:val="3"/>
        <w:spacing w:before="0" w:after="0" w:line="240" w:lineRule="auto"/>
        <w:rPr>
          <w:rFonts w:hint="eastAsia"/>
        </w:rPr>
      </w:pPr>
    </w:p>
    <w:p w14:paraId="2748BE69">
      <w:pPr>
        <w:pStyle w:val="3"/>
        <w:spacing w:before="0" w:after="0" w:line="240" w:lineRule="auto"/>
        <w:rPr>
          <w:rFonts w:hint="eastAsia"/>
        </w:rPr>
      </w:pPr>
    </w:p>
    <w:p w14:paraId="2D484D9C">
      <w:pPr>
        <w:pStyle w:val="3"/>
        <w:spacing w:before="0" w:after="0" w:line="240" w:lineRule="auto"/>
        <w:rPr>
          <w:rFonts w:hint="eastAsia"/>
        </w:rPr>
      </w:pPr>
    </w:p>
    <w:p w14:paraId="402DA7DE">
      <w:pPr>
        <w:pStyle w:val="3"/>
        <w:spacing w:before="0" w:after="0" w:line="240" w:lineRule="auto"/>
        <w:rPr>
          <w:rFonts w:hint="eastAsia"/>
        </w:rPr>
      </w:pPr>
    </w:p>
    <w:p w14:paraId="4E5DB7B4">
      <w:pPr>
        <w:pStyle w:val="3"/>
        <w:spacing w:before="0" w:after="0" w:line="240" w:lineRule="auto"/>
        <w:rPr>
          <w:rFonts w:hint="eastAsia"/>
        </w:rPr>
      </w:pPr>
    </w:p>
    <w:p w14:paraId="47231D2A">
      <w:pPr>
        <w:pStyle w:val="3"/>
        <w:spacing w:before="0" w:after="0" w:line="240" w:lineRule="auto"/>
        <w:rPr>
          <w:rFonts w:hint="eastAsia"/>
        </w:rPr>
      </w:pPr>
    </w:p>
    <w:p w14:paraId="76AFECB7">
      <w:pPr>
        <w:pStyle w:val="3"/>
        <w:spacing w:before="0" w:after="0" w:line="240" w:lineRule="auto"/>
        <w:rPr>
          <w:rFonts w:hint="eastAsia"/>
        </w:rPr>
      </w:pPr>
    </w:p>
    <w:p w14:paraId="52167B53">
      <w:pPr>
        <w:pStyle w:val="3"/>
        <w:spacing w:before="0" w:after="0" w:line="240" w:lineRule="auto"/>
        <w:rPr>
          <w:rFonts w:hint="eastAsia"/>
        </w:rPr>
      </w:pPr>
    </w:p>
    <w:p w14:paraId="33C4A853">
      <w:pPr>
        <w:pStyle w:val="3"/>
        <w:spacing w:before="0" w:after="0" w:line="240" w:lineRule="auto"/>
        <w:rPr>
          <w:rFonts w:hint="eastAsia"/>
        </w:rPr>
      </w:pPr>
    </w:p>
    <w:p w14:paraId="0B21A24B">
      <w:pPr>
        <w:pStyle w:val="3"/>
        <w:spacing w:before="0" w:after="0" w:line="240" w:lineRule="auto"/>
        <w:rPr>
          <w:rFonts w:hint="eastAsia"/>
        </w:rPr>
      </w:pPr>
    </w:p>
    <w:p w14:paraId="3396E3B8">
      <w:pPr>
        <w:bidi w:val="0"/>
        <w:rPr>
          <w:rFonts w:hint="eastAsia"/>
        </w:rPr>
      </w:pPr>
    </w:p>
    <w:p w14:paraId="03B9D23A">
      <w:pPr>
        <w:bidi w:val="0"/>
        <w:rPr>
          <w:rFonts w:hint="eastAsia"/>
        </w:rPr>
      </w:pPr>
    </w:p>
    <w:p w14:paraId="2ADFEB4F">
      <w:pPr>
        <w:bidi w:val="0"/>
        <w:rPr>
          <w:rFonts w:hint="eastAsia"/>
        </w:rPr>
      </w:pPr>
    </w:p>
    <w:p w14:paraId="65F07023">
      <w:pPr>
        <w:bidi w:val="0"/>
        <w:rPr>
          <w:rFonts w:hint="eastAsia"/>
        </w:rPr>
      </w:pPr>
    </w:p>
    <w:p w14:paraId="0FC46DEA">
      <w:pPr>
        <w:bidi w:val="0"/>
        <w:rPr>
          <w:rFonts w:hint="eastAsia"/>
        </w:rPr>
      </w:pPr>
    </w:p>
    <w:p w14:paraId="62F42E62">
      <w:pPr>
        <w:bidi w:val="0"/>
        <w:rPr>
          <w:rFonts w:hint="eastAsia"/>
        </w:rPr>
      </w:pPr>
    </w:p>
    <w:p w14:paraId="34CAAC28">
      <w:pPr>
        <w:bidi w:val="0"/>
        <w:rPr>
          <w:rFonts w:hint="eastAsia"/>
        </w:rPr>
      </w:pPr>
    </w:p>
    <w:p w14:paraId="188F90EF">
      <w:pPr>
        <w:pStyle w:val="3"/>
        <w:bidi w:val="0"/>
        <w:jc w:val="center"/>
        <w:rPr>
          <w:rFonts w:hint="eastAsia" w:ascii="黑体" w:hAnsi="黑体" w:eastAsia="黑体"/>
        </w:rPr>
      </w:pPr>
      <w:r>
        <w:rPr>
          <w:rFonts w:hint="eastAsia"/>
        </w:rPr>
        <w:t>第一部分 单位</w:t>
      </w:r>
      <w:r>
        <w:rPr>
          <w:rStyle w:val="28"/>
          <w:rFonts w:hint="eastAsia" w:ascii="黑体" w:hAnsi="黑体" w:eastAsia="黑体"/>
          <w:b w:val="0"/>
          <w:bCs w:val="0"/>
        </w:rPr>
        <w:t>概况</w:t>
      </w:r>
      <w:bookmarkEnd w:id="8"/>
      <w:bookmarkEnd w:id="9"/>
    </w:p>
    <w:p w14:paraId="1E8EEE68">
      <w:pPr>
        <w:pStyle w:val="4"/>
        <w:numPr>
          <w:ilvl w:val="0"/>
          <w:numId w:val="1"/>
        </w:numPr>
        <w:rPr>
          <w:rStyle w:val="29"/>
          <w:rFonts w:ascii="黑体" w:hAnsi="黑体" w:eastAsia="黑体"/>
          <w:b w:val="0"/>
          <w:bCs w:val="0"/>
        </w:rPr>
      </w:pPr>
      <w:bookmarkStart w:id="10" w:name="_Toc15377197"/>
      <w:bookmarkStart w:id="11" w:name="_Toc15396600"/>
      <w:r>
        <w:rPr>
          <w:rStyle w:val="29"/>
          <w:rFonts w:hint="eastAsia" w:ascii="黑体" w:hAnsi="黑体" w:eastAsia="黑体"/>
          <w:b w:val="0"/>
          <w:bCs w:val="0"/>
        </w:rPr>
        <w:t>主要职责</w:t>
      </w:r>
    </w:p>
    <w:p w14:paraId="11CFC7FA">
      <w:pPr>
        <w:keepNext/>
        <w:keepLines/>
        <w:spacing w:line="576" w:lineRule="exact"/>
        <w:rPr>
          <w:rFonts w:ascii="仿宋" w:hAnsi="仿宋" w:eastAsia="仿宋" w:cs="仿宋"/>
          <w:color w:val="000000"/>
          <w:sz w:val="32"/>
          <w:lang w:val="zh-CN"/>
        </w:rPr>
      </w:pPr>
      <w:r>
        <w:rPr>
          <w:rFonts w:hint="eastAsia" w:ascii="仿宋" w:hAnsi="仿宋" w:eastAsia="仿宋" w:cs="仿宋"/>
          <w:color w:val="000000"/>
          <w:sz w:val="32"/>
          <w:lang w:val="zh-CN"/>
        </w:rPr>
        <w:t>（一）主要职能。</w:t>
      </w:r>
    </w:p>
    <w:p w14:paraId="5A27BAB1">
      <w:pPr>
        <w:pStyle w:val="34"/>
        <w:spacing w:line="600" w:lineRule="exact"/>
        <w:ind w:firstLine="640" w:firstLineChars="200"/>
        <w:rPr>
          <w:rFonts w:ascii="仿宋" w:hAnsi="仿宋" w:eastAsia="仿宋" w:cs="仿宋"/>
          <w:kern w:val="2"/>
          <w:szCs w:val="32"/>
        </w:rPr>
      </w:pPr>
      <w:r>
        <w:rPr>
          <w:rFonts w:hint="eastAsia" w:ascii="仿宋" w:hAnsi="仿宋" w:eastAsia="仿宋" w:cs="仿宋"/>
          <w:kern w:val="2"/>
          <w:szCs w:val="32"/>
        </w:rPr>
        <w:t>实施小学</w:t>
      </w:r>
      <w:r>
        <w:rPr>
          <w:rFonts w:hint="eastAsia" w:ascii="仿宋" w:hAnsi="仿宋" w:eastAsia="仿宋" w:cs="仿宋"/>
          <w:kern w:val="2"/>
          <w:szCs w:val="32"/>
          <w:lang w:eastAsia="zh-CN"/>
        </w:rPr>
        <w:t>义</w:t>
      </w:r>
      <w:bookmarkStart w:id="63" w:name="_GoBack"/>
      <w:bookmarkEnd w:id="63"/>
      <w:r>
        <w:rPr>
          <w:rFonts w:hint="eastAsia" w:ascii="仿宋" w:hAnsi="仿宋" w:eastAsia="仿宋" w:cs="仿宋"/>
          <w:kern w:val="2"/>
          <w:szCs w:val="32"/>
        </w:rPr>
        <w:t>务教育，促进基础教育发展，小学学历教育，相关社会服务。</w:t>
      </w:r>
    </w:p>
    <w:p w14:paraId="32730D48">
      <w:pPr>
        <w:keepNext/>
        <w:keepLines/>
        <w:spacing w:line="576" w:lineRule="exact"/>
        <w:rPr>
          <w:rFonts w:ascii="仿宋" w:hAnsi="仿宋" w:eastAsia="仿宋" w:cs="仿宋"/>
          <w:color w:val="000000"/>
          <w:sz w:val="32"/>
          <w:lang w:val="zh-CN"/>
        </w:rPr>
      </w:pPr>
      <w:r>
        <w:rPr>
          <w:rFonts w:hint="eastAsia" w:ascii="仿宋" w:hAnsi="仿宋" w:eastAsia="仿宋" w:cs="仿宋"/>
          <w:color w:val="000000"/>
          <w:sz w:val="32"/>
          <w:lang w:val="zh-CN"/>
        </w:rPr>
        <w:t>（二）202</w:t>
      </w:r>
      <w:r>
        <w:rPr>
          <w:rFonts w:hint="eastAsia" w:ascii="仿宋" w:hAnsi="仿宋" w:eastAsia="仿宋" w:cs="仿宋"/>
          <w:color w:val="000000"/>
          <w:sz w:val="32"/>
        </w:rPr>
        <w:t>3</w:t>
      </w:r>
      <w:r>
        <w:rPr>
          <w:rFonts w:hint="eastAsia" w:ascii="仿宋" w:hAnsi="仿宋" w:eastAsia="仿宋" w:cs="仿宋"/>
          <w:color w:val="000000"/>
          <w:sz w:val="32"/>
          <w:lang w:val="zh-CN"/>
        </w:rPr>
        <w:t>年重点工作完成情况。</w:t>
      </w:r>
    </w:p>
    <w:p w14:paraId="03003223">
      <w:pPr>
        <w:keepNext/>
        <w:keepLines/>
        <w:spacing w:line="576" w:lineRule="exact"/>
        <w:ind w:firstLine="640"/>
        <w:rPr>
          <w:rFonts w:ascii="仿宋" w:hAnsi="仿宋" w:eastAsia="仿宋" w:cs="仿宋"/>
          <w:color w:val="000000"/>
          <w:sz w:val="32"/>
          <w:lang w:val="zh-CN"/>
        </w:rPr>
      </w:pPr>
      <w:r>
        <w:rPr>
          <w:rFonts w:hint="eastAsia" w:ascii="仿宋" w:hAnsi="仿宋" w:eastAsia="仿宋" w:cs="仿宋"/>
          <w:color w:val="000000"/>
          <w:sz w:val="32"/>
          <w:lang w:val="zh-CN"/>
        </w:rPr>
        <w:t>一、实施开展好辖区内适龄儿童的义务教育，推动学校教育教学工作顺利进行，完成年度教育教学任务。</w:t>
      </w:r>
    </w:p>
    <w:p w14:paraId="55822C15">
      <w:pPr>
        <w:keepNext/>
        <w:keepLines/>
        <w:spacing w:line="576" w:lineRule="exact"/>
        <w:ind w:firstLine="640"/>
        <w:rPr>
          <w:rFonts w:ascii="仿宋" w:hAnsi="仿宋" w:eastAsia="仿宋" w:cs="仿宋"/>
          <w:color w:val="000000"/>
          <w:sz w:val="32"/>
          <w:lang w:val="zh-CN"/>
        </w:rPr>
      </w:pPr>
      <w:r>
        <w:rPr>
          <w:rFonts w:hint="eastAsia" w:ascii="仿宋" w:hAnsi="仿宋" w:eastAsia="仿宋" w:cs="仿宋"/>
          <w:color w:val="000000"/>
          <w:sz w:val="32"/>
          <w:lang w:val="zh-CN"/>
        </w:rPr>
        <w:t>二、加强学校管理和教师队伍建设，提升教育教学质量。</w:t>
      </w:r>
    </w:p>
    <w:p w14:paraId="25E98400">
      <w:pPr>
        <w:keepNext/>
        <w:keepLines/>
        <w:spacing w:line="576" w:lineRule="exact"/>
        <w:ind w:firstLine="640"/>
        <w:rPr>
          <w:rFonts w:ascii="仿宋" w:hAnsi="仿宋" w:eastAsia="仿宋" w:cs="仿宋"/>
        </w:rPr>
      </w:pPr>
      <w:r>
        <w:rPr>
          <w:rFonts w:hint="eastAsia" w:ascii="仿宋" w:hAnsi="仿宋" w:eastAsia="仿宋" w:cs="仿宋"/>
          <w:color w:val="000000"/>
          <w:sz w:val="32"/>
          <w:lang w:val="zh-CN"/>
        </w:rPr>
        <w:t>三、履行学校教育教学职责，探究农村留守儿童教育管理策略，促进留守儿童身心健康发展。</w:t>
      </w:r>
    </w:p>
    <w:p w14:paraId="626624CC"/>
    <w:p w14:paraId="0ECD05DC">
      <w:pPr>
        <w:pStyle w:val="4"/>
        <w:numPr>
          <w:ilvl w:val="0"/>
          <w:numId w:val="1"/>
        </w:numPr>
        <w:rPr>
          <w:rFonts w:ascii="黑体" w:hAnsi="黑体" w:eastAsia="黑体"/>
          <w:b w:val="0"/>
        </w:rPr>
      </w:pPr>
      <w:r>
        <w:rPr>
          <w:rFonts w:hint="eastAsia" w:ascii="黑体" w:hAnsi="黑体" w:eastAsia="黑体"/>
          <w:b w:val="0"/>
        </w:rPr>
        <w:t>机构设置</w:t>
      </w:r>
    </w:p>
    <w:p w14:paraId="69D3693C">
      <w:pPr>
        <w:pStyle w:val="4"/>
        <w:ind w:firstLine="640" w:firstLineChars="200"/>
        <w:rPr>
          <w:rFonts w:ascii="仿宋" w:hAnsi="仿宋" w:eastAsia="仿宋" w:cs="仿宋"/>
          <w:b w:val="0"/>
          <w:bCs w:val="0"/>
        </w:rPr>
      </w:pPr>
      <w:r>
        <w:rPr>
          <w:rFonts w:hint="eastAsia" w:ascii="仿宋" w:hAnsi="仿宋" w:eastAsia="仿宋" w:cs="仿宋"/>
          <w:b w:val="0"/>
          <w:bCs w:val="0"/>
        </w:rPr>
        <w:t>射洪市太乙镇白龙小学校下属二级预算单位0个。</w:t>
      </w:r>
    </w:p>
    <w:p w14:paraId="2EB9484C"/>
    <w:bookmarkEnd w:id="10"/>
    <w:bookmarkEnd w:id="11"/>
    <w:p w14:paraId="7A37A3C8">
      <w:pPr>
        <w:widowControl/>
        <w:jc w:val="left"/>
        <w:rPr>
          <w:rFonts w:ascii="仿宋" w:hAnsi="仿宋" w:eastAsia="仿宋"/>
          <w:kern w:val="0"/>
          <w:sz w:val="32"/>
          <w:szCs w:val="32"/>
        </w:rPr>
      </w:pPr>
      <w:r>
        <w:rPr>
          <w:rFonts w:ascii="仿宋" w:hAnsi="仿宋" w:eastAsia="仿宋"/>
          <w:sz w:val="32"/>
          <w:szCs w:val="32"/>
        </w:rPr>
        <w:br w:type="page"/>
      </w:r>
    </w:p>
    <w:p w14:paraId="7D573695">
      <w:pPr>
        <w:pStyle w:val="3"/>
        <w:ind w:right="440"/>
        <w:jc w:val="center"/>
      </w:pPr>
      <w:bookmarkStart w:id="12" w:name="_Toc15396602"/>
      <w:bookmarkStart w:id="13" w:name="_Toc15377204"/>
      <w:r>
        <w:rPr>
          <w:rFonts w:hint="eastAsia" w:ascii="黑体" w:hAnsi="黑体" w:eastAsia="黑体"/>
          <w:b w:val="0"/>
        </w:rPr>
        <w:t>第二部分 2023年度</w:t>
      </w:r>
      <w:r>
        <w:rPr>
          <w:rStyle w:val="28"/>
          <w:rFonts w:hint="eastAsia" w:ascii="黑体" w:hAnsi="黑体" w:eastAsia="黑体"/>
          <w:b w:val="0"/>
          <w:bCs/>
        </w:rPr>
        <w:t>单位决算情况说明</w:t>
      </w:r>
      <w:bookmarkEnd w:id="12"/>
      <w:bookmarkEnd w:id="13"/>
    </w:p>
    <w:p w14:paraId="3383776E">
      <w:pPr>
        <w:pStyle w:val="27"/>
        <w:numPr>
          <w:ilvl w:val="0"/>
          <w:numId w:val="2"/>
        </w:numPr>
        <w:spacing w:line="600" w:lineRule="exact"/>
        <w:ind w:firstLineChars="0"/>
        <w:outlineLvl w:val="1"/>
        <w:rPr>
          <w:rStyle w:val="29"/>
          <w:rFonts w:ascii="黑体" w:hAnsi="黑体" w:eastAsia="黑体"/>
          <w:b w:val="0"/>
        </w:rPr>
      </w:pPr>
      <w:bookmarkStart w:id="14" w:name="_Toc15396603"/>
      <w:bookmarkStart w:id="15"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4"/>
      <w:bookmarkEnd w:id="15"/>
    </w:p>
    <w:p w14:paraId="66476CBC">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276.97</w:t>
      </w:r>
      <w:r>
        <w:rPr>
          <w:rFonts w:hint="eastAsia" w:ascii="仿宋" w:hAnsi="仿宋" w:eastAsia="仿宋"/>
          <w:sz w:val="32"/>
          <w:szCs w:val="32"/>
        </w:rPr>
        <w:t>万元。与2022年度相比，收、支总计各增加6.04万元，增长2.2</w:t>
      </w:r>
      <w:r>
        <w:rPr>
          <w:rFonts w:ascii="仿宋" w:hAnsi="仿宋" w:eastAsia="仿宋"/>
          <w:sz w:val="32"/>
          <w:szCs w:val="32"/>
        </w:rPr>
        <w:t>%</w:t>
      </w:r>
      <w:r>
        <w:rPr>
          <w:rFonts w:hint="eastAsia" w:ascii="仿宋" w:hAnsi="仿宋" w:eastAsia="仿宋"/>
          <w:sz w:val="32"/>
          <w:szCs w:val="32"/>
        </w:rPr>
        <w:t>。主要变动原因是政策调整教师社保缴费增加。</w:t>
      </w:r>
    </w:p>
    <w:p w14:paraId="347EC7CF">
      <w:pPr>
        <w:pStyle w:val="2"/>
        <w:rPr>
          <w:rFonts w:ascii="仿宋" w:hAnsi="仿宋" w:eastAsia="仿宋"/>
        </w:rPr>
      </w:pPr>
      <w:r>
        <w:drawing>
          <wp:anchor distT="0" distB="0" distL="114300" distR="114300" simplePos="0" relativeHeight="251659264" behindDoc="0" locked="0" layoutInCell="1" allowOverlap="1">
            <wp:simplePos x="0" y="0"/>
            <wp:positionH relativeFrom="column">
              <wp:posOffset>448945</wp:posOffset>
            </wp:positionH>
            <wp:positionV relativeFrom="paragraph">
              <wp:posOffset>194945</wp:posOffset>
            </wp:positionV>
            <wp:extent cx="4572000" cy="2743200"/>
            <wp:effectExtent l="4445" t="4445" r="14605" b="14605"/>
            <wp:wrapNone/>
            <wp:docPr id="104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E56934C">
      <w:pPr>
        <w:pStyle w:val="2"/>
      </w:pPr>
    </w:p>
    <w:p w14:paraId="116DBC41">
      <w:pPr>
        <w:pStyle w:val="2"/>
      </w:pPr>
    </w:p>
    <w:p w14:paraId="3485336D">
      <w:pPr>
        <w:pStyle w:val="2"/>
      </w:pPr>
    </w:p>
    <w:p w14:paraId="06E4DE8A">
      <w:pPr>
        <w:pStyle w:val="2"/>
      </w:pPr>
    </w:p>
    <w:p w14:paraId="5B2980A2">
      <w:pPr>
        <w:pStyle w:val="2"/>
      </w:pPr>
    </w:p>
    <w:p w14:paraId="18D62018">
      <w:pPr>
        <w:pStyle w:val="2"/>
      </w:pPr>
    </w:p>
    <w:p w14:paraId="262DD8D2">
      <w:pPr>
        <w:pStyle w:val="27"/>
        <w:numPr>
          <w:ilvl w:val="0"/>
          <w:numId w:val="2"/>
        </w:numPr>
        <w:spacing w:line="600" w:lineRule="exact"/>
        <w:ind w:firstLineChars="0"/>
        <w:outlineLvl w:val="1"/>
        <w:rPr>
          <w:rStyle w:val="29"/>
          <w:rFonts w:ascii="黑体" w:hAnsi="黑体" w:eastAsia="黑体"/>
          <w:b w:val="0"/>
        </w:rPr>
      </w:pPr>
      <w:bookmarkStart w:id="16" w:name="_Toc15377206"/>
      <w:bookmarkStart w:id="17" w:name="_Toc15396604"/>
      <w:r>
        <w:rPr>
          <w:rFonts w:hint="eastAsia" w:ascii="黑体" w:hAnsi="黑体" w:eastAsia="黑体"/>
          <w:sz w:val="32"/>
          <w:szCs w:val="32"/>
        </w:rPr>
        <w:t>收</w:t>
      </w:r>
      <w:r>
        <w:rPr>
          <w:rStyle w:val="29"/>
          <w:rFonts w:hint="eastAsia" w:ascii="黑体" w:hAnsi="黑体" w:eastAsia="黑体"/>
          <w:b w:val="0"/>
        </w:rPr>
        <w:t>入决算情况说明</w:t>
      </w:r>
      <w:bookmarkEnd w:id="16"/>
      <w:bookmarkEnd w:id="17"/>
    </w:p>
    <w:p w14:paraId="0EB15DCB">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2023年度本年收入合计</w:t>
      </w:r>
      <w:r>
        <w:rPr>
          <w:rFonts w:ascii="仿宋" w:hAnsi="仿宋" w:eastAsia="仿宋"/>
          <w:b/>
          <w:sz w:val="32"/>
          <w:szCs w:val="32"/>
        </w:rPr>
        <w:t>276.97</w:t>
      </w:r>
      <w:r>
        <w:rPr>
          <w:rFonts w:hint="eastAsia" w:ascii="仿宋" w:hAnsi="仿宋" w:eastAsia="仿宋"/>
          <w:sz w:val="32"/>
          <w:szCs w:val="32"/>
        </w:rPr>
        <w:t>万元，其中：一般公共预算财政拨款收入</w:t>
      </w:r>
      <w:r>
        <w:rPr>
          <w:rFonts w:ascii="仿宋" w:hAnsi="仿宋" w:eastAsia="仿宋"/>
          <w:b/>
          <w:sz w:val="32"/>
          <w:szCs w:val="32"/>
        </w:rPr>
        <w:t>276.97</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lang w:eastAsia="zh-CN"/>
        </w:rPr>
        <w:t>。</w:t>
      </w:r>
    </w:p>
    <w:p w14:paraId="2FC49AC2">
      <w:pPr>
        <w:spacing w:line="600" w:lineRule="exact"/>
        <w:rPr>
          <w:rFonts w:ascii="仿宋_GB2312" w:eastAsia="仿宋_GB2312"/>
          <w:sz w:val="32"/>
          <w:szCs w:val="32"/>
        </w:rPr>
      </w:pPr>
    </w:p>
    <w:p w14:paraId="5C89BA39">
      <w:pPr>
        <w:pStyle w:val="2"/>
      </w:pPr>
      <w:r>
        <w:drawing>
          <wp:inline distT="0" distB="0" distL="114300" distR="114300">
            <wp:extent cx="3933825" cy="2650490"/>
            <wp:effectExtent l="4445" t="4445" r="5080" b="12065"/>
            <wp:docPr id="207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72412A">
      <w:pPr>
        <w:pStyle w:val="27"/>
        <w:numPr>
          <w:ilvl w:val="0"/>
          <w:numId w:val="2"/>
        </w:numPr>
        <w:spacing w:line="600" w:lineRule="exact"/>
        <w:ind w:firstLineChars="0"/>
        <w:outlineLvl w:val="1"/>
        <w:rPr>
          <w:rStyle w:val="29"/>
          <w:rFonts w:ascii="黑体" w:hAnsi="黑体" w:eastAsia="黑体"/>
          <w:b w:val="0"/>
        </w:rPr>
      </w:pPr>
      <w:bookmarkStart w:id="18" w:name="_Toc15396605"/>
      <w:bookmarkStart w:id="19" w:name="_Toc15377207"/>
      <w:r>
        <w:rPr>
          <w:rFonts w:hint="eastAsia" w:ascii="黑体" w:hAnsi="黑体" w:eastAsia="黑体"/>
          <w:b w:val="0"/>
          <w:bCs w:val="0"/>
          <w:sz w:val="32"/>
          <w:szCs w:val="32"/>
        </w:rPr>
        <w:t>支</w:t>
      </w:r>
      <w:r>
        <w:rPr>
          <w:rStyle w:val="29"/>
          <w:rFonts w:hint="eastAsia" w:ascii="黑体" w:hAnsi="黑体" w:eastAsia="黑体"/>
          <w:b w:val="0"/>
        </w:rPr>
        <w:t>出决算情况说明</w:t>
      </w:r>
      <w:bookmarkEnd w:id="18"/>
      <w:bookmarkEnd w:id="19"/>
    </w:p>
    <w:p w14:paraId="5FABD0F7">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rFonts w:ascii="仿宋" w:hAnsi="仿宋" w:eastAsia="仿宋"/>
          <w:b/>
          <w:sz w:val="32"/>
          <w:szCs w:val="32"/>
        </w:rPr>
        <w:t>276.97</w:t>
      </w:r>
      <w:r>
        <w:rPr>
          <w:rFonts w:hint="eastAsia" w:ascii="仿宋" w:hAnsi="仿宋" w:eastAsia="仿宋"/>
          <w:sz w:val="32"/>
          <w:szCs w:val="32"/>
        </w:rPr>
        <w:t>万元，其中：基本支出</w:t>
      </w:r>
      <w:r>
        <w:rPr>
          <w:rFonts w:ascii="仿宋" w:hAnsi="仿宋" w:eastAsia="仿宋"/>
          <w:b/>
          <w:sz w:val="32"/>
          <w:szCs w:val="32"/>
        </w:rPr>
        <w:t>275.63</w:t>
      </w:r>
      <w:r>
        <w:rPr>
          <w:rFonts w:hint="eastAsia" w:ascii="仿宋" w:hAnsi="仿宋" w:eastAsia="仿宋"/>
          <w:sz w:val="32"/>
          <w:szCs w:val="32"/>
        </w:rPr>
        <w:t>万元，占</w:t>
      </w:r>
      <w:r>
        <w:rPr>
          <w:rFonts w:ascii="仿宋" w:hAnsi="仿宋" w:eastAsia="仿宋"/>
          <w:b/>
          <w:sz w:val="32"/>
          <w:szCs w:val="32"/>
        </w:rPr>
        <w:t>99.5</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1.33</w:t>
      </w:r>
      <w:r>
        <w:rPr>
          <w:rFonts w:hint="eastAsia" w:ascii="仿宋" w:hAnsi="仿宋" w:eastAsia="仿宋"/>
          <w:sz w:val="32"/>
          <w:szCs w:val="32"/>
        </w:rPr>
        <w:t>万元，占</w:t>
      </w:r>
      <w:r>
        <w:rPr>
          <w:rFonts w:ascii="仿宋" w:hAnsi="仿宋" w:eastAsia="仿宋"/>
          <w:b/>
          <w:sz w:val="32"/>
          <w:szCs w:val="32"/>
        </w:rPr>
        <w:t>0.</w:t>
      </w:r>
      <w:r>
        <w:rPr>
          <w:rFonts w:hint="eastAsia" w:ascii="仿宋" w:hAnsi="仿宋" w:eastAsia="仿宋"/>
          <w:b/>
          <w:sz w:val="32"/>
          <w:szCs w:val="32"/>
        </w:rPr>
        <w:t>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31E23199">
      <w:pPr>
        <w:pStyle w:val="2"/>
        <w:rPr>
          <w:rFonts w:ascii="仿宋" w:hAnsi="仿宋" w:eastAsia="仿宋"/>
          <w:shd w:val="pct10" w:color="auto" w:fill="FFFFFF"/>
        </w:rPr>
      </w:pPr>
      <w:r>
        <w:drawing>
          <wp:inline distT="0" distB="0" distL="114300" distR="114300">
            <wp:extent cx="4572000" cy="2743200"/>
            <wp:effectExtent l="4445" t="4445" r="14605" b="14605"/>
            <wp:docPr id="308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89C134">
      <w:pPr>
        <w:pStyle w:val="3"/>
        <w:bidi w:val="0"/>
        <w:ind w:firstLine="640" w:firstLineChars="200"/>
        <w:rPr>
          <w:rStyle w:val="29"/>
          <w:rFonts w:ascii="黑体" w:hAnsi="黑体" w:eastAsia="黑体"/>
          <w:b/>
          <w:bCs w:val="0"/>
        </w:rPr>
      </w:pPr>
      <w:bookmarkStart w:id="20" w:name="_Toc15377208"/>
      <w:bookmarkStart w:id="21" w:name="_Toc15396606"/>
      <w:r>
        <w:rPr>
          <w:rFonts w:hint="eastAsia" w:ascii="黑体" w:hAnsi="黑体" w:eastAsia="黑体" w:cs="黑体"/>
          <w:b w:val="0"/>
          <w:bCs w:val="0"/>
          <w:sz w:val="32"/>
          <w:szCs w:val="32"/>
        </w:rPr>
        <w:t>四</w:t>
      </w:r>
      <w:r>
        <w:rPr>
          <w:rFonts w:hint="eastAsia"/>
        </w:rPr>
        <w:t>、</w:t>
      </w:r>
      <w:r>
        <w:rPr>
          <w:rFonts w:hint="eastAsia"/>
          <w:b w:val="0"/>
          <w:bCs w:val="0"/>
          <w:sz w:val="32"/>
          <w:szCs w:val="32"/>
        </w:rPr>
        <w:t>财</w:t>
      </w:r>
      <w:r>
        <w:rPr>
          <w:rStyle w:val="29"/>
          <w:rFonts w:hint="eastAsia" w:ascii="黑体" w:hAnsi="黑体" w:eastAsia="黑体"/>
          <w:b w:val="0"/>
          <w:bCs w:val="0"/>
        </w:rPr>
        <w:t>政拨款收入支出决算总体情况说明</w:t>
      </w:r>
      <w:bookmarkEnd w:id="20"/>
      <w:bookmarkEnd w:id="21"/>
    </w:p>
    <w:p w14:paraId="3E65AACA">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276.97</w:t>
      </w:r>
      <w:r>
        <w:rPr>
          <w:rFonts w:hint="eastAsia" w:ascii="仿宋" w:hAnsi="仿宋" w:eastAsia="仿宋"/>
          <w:sz w:val="32"/>
          <w:szCs w:val="32"/>
        </w:rPr>
        <w:t>万元。与2022年度相比，财政拨款收、支总计各增加6.04万元，增长2.2</w:t>
      </w:r>
      <w:r>
        <w:rPr>
          <w:rFonts w:ascii="仿宋" w:hAnsi="仿宋" w:eastAsia="仿宋"/>
          <w:sz w:val="32"/>
          <w:szCs w:val="32"/>
        </w:rPr>
        <w:t>%</w:t>
      </w:r>
      <w:r>
        <w:rPr>
          <w:rFonts w:hint="eastAsia" w:ascii="仿宋" w:hAnsi="仿宋" w:eastAsia="仿宋"/>
          <w:sz w:val="32"/>
          <w:szCs w:val="32"/>
        </w:rPr>
        <w:t>。主要变动原因是政策调整教师社保缴费增加。</w:t>
      </w:r>
    </w:p>
    <w:p w14:paraId="024E928A">
      <w:pPr>
        <w:pStyle w:val="2"/>
      </w:pPr>
      <w:r>
        <w:drawing>
          <wp:inline distT="0" distB="0" distL="114300" distR="114300">
            <wp:extent cx="4571365" cy="2743835"/>
            <wp:effectExtent l="4445" t="4445" r="15240" b="13970"/>
            <wp:docPr id="410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8CEF8A">
      <w:pPr>
        <w:spacing w:line="600" w:lineRule="exact"/>
        <w:ind w:firstLine="640" w:firstLineChars="200"/>
        <w:outlineLvl w:val="1"/>
        <w:rPr>
          <w:rStyle w:val="29"/>
          <w:rFonts w:ascii="黑体" w:hAnsi="黑体" w:eastAsia="黑体"/>
          <w:b w:val="0"/>
        </w:rPr>
      </w:pPr>
      <w:bookmarkStart w:id="22" w:name="_Toc15396607"/>
      <w:bookmarkStart w:id="23"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2"/>
      <w:bookmarkEnd w:id="23"/>
    </w:p>
    <w:p w14:paraId="49B16CC7">
      <w:pPr>
        <w:spacing w:line="600" w:lineRule="exact"/>
        <w:ind w:firstLine="643" w:firstLineChars="200"/>
        <w:outlineLvl w:val="2"/>
        <w:rPr>
          <w:rFonts w:ascii="仿宋" w:hAnsi="仿宋" w:eastAsia="仿宋"/>
          <w:b/>
          <w:sz w:val="32"/>
          <w:szCs w:val="32"/>
        </w:rPr>
      </w:pPr>
      <w:bookmarkStart w:id="24" w:name="_Toc15377210"/>
      <w:r>
        <w:rPr>
          <w:rFonts w:hint="eastAsia" w:ascii="仿宋" w:hAnsi="仿宋" w:eastAsia="仿宋"/>
          <w:b/>
          <w:sz w:val="32"/>
          <w:szCs w:val="32"/>
        </w:rPr>
        <w:t>（一）一般公共预算财政拨款支出决算总体情况</w:t>
      </w:r>
      <w:bookmarkEnd w:id="24"/>
    </w:p>
    <w:p w14:paraId="5E918B94">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276.97</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。与2022年度相比，一般公共预算财政拨款支出增加6.04万元，增长2.2</w:t>
      </w:r>
      <w:r>
        <w:rPr>
          <w:rFonts w:ascii="仿宋" w:hAnsi="仿宋" w:eastAsia="仿宋"/>
          <w:sz w:val="32"/>
          <w:szCs w:val="32"/>
        </w:rPr>
        <w:t>%</w:t>
      </w:r>
      <w:r>
        <w:rPr>
          <w:rFonts w:hint="eastAsia" w:ascii="仿宋" w:hAnsi="仿宋" w:eastAsia="仿宋"/>
          <w:sz w:val="32"/>
          <w:szCs w:val="32"/>
        </w:rPr>
        <w:t>。主要变动原因是政策调整教师社保缴费增加。</w:t>
      </w:r>
    </w:p>
    <w:p w14:paraId="5E600EB1">
      <w:pPr>
        <w:pStyle w:val="2"/>
        <w:jc w:val="both"/>
        <w:rPr>
          <w:rFonts w:ascii="仿宋" w:hAnsi="仿宋" w:eastAsia="仿宋"/>
        </w:rPr>
      </w:pPr>
      <w:r>
        <w:drawing>
          <wp:inline distT="0" distB="0" distL="114300" distR="114300">
            <wp:extent cx="4732655" cy="2781935"/>
            <wp:effectExtent l="4445" t="5080" r="6350" b="13335"/>
            <wp:docPr id="51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C7BBEF">
      <w:pPr>
        <w:spacing w:line="600" w:lineRule="exact"/>
        <w:ind w:firstLine="643" w:firstLineChars="200"/>
        <w:outlineLvl w:val="2"/>
        <w:rPr>
          <w:rFonts w:ascii="仿宋" w:hAnsi="仿宋" w:eastAsia="仿宋"/>
          <w:b/>
          <w:sz w:val="32"/>
          <w:szCs w:val="32"/>
        </w:rPr>
      </w:pPr>
      <w:bookmarkStart w:id="25" w:name="_Toc15377211"/>
      <w:r>
        <w:rPr>
          <w:rFonts w:hint="eastAsia" w:ascii="仿宋" w:hAnsi="仿宋" w:eastAsia="仿宋"/>
          <w:b/>
          <w:sz w:val="32"/>
          <w:szCs w:val="32"/>
        </w:rPr>
        <w:t>（二）一般公共预算财政拨款支出决算结构情况</w:t>
      </w:r>
      <w:bookmarkEnd w:id="25"/>
    </w:p>
    <w:p w14:paraId="2E071D91">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276.97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208.96万元，占75.5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40万元，占14.4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9.71万元，占3.5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16.97万元，占6.1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1.33万元，占比0.5%。</w:t>
      </w:r>
    </w:p>
    <w:p w14:paraId="73120E70">
      <w:pPr>
        <w:pStyle w:val="2"/>
      </w:pPr>
      <w:r>
        <w:drawing>
          <wp:inline distT="0" distB="0" distL="114300" distR="114300">
            <wp:extent cx="4570730" cy="3225800"/>
            <wp:effectExtent l="4445" t="4445" r="15875" b="8255"/>
            <wp:docPr id="615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A1AA1F">
      <w:pPr>
        <w:spacing w:line="600" w:lineRule="exact"/>
        <w:ind w:firstLine="643" w:firstLineChars="200"/>
        <w:outlineLvl w:val="2"/>
        <w:rPr>
          <w:rFonts w:ascii="仿宋" w:hAnsi="仿宋" w:eastAsia="仿宋"/>
          <w:b/>
          <w:sz w:val="32"/>
          <w:szCs w:val="32"/>
        </w:rPr>
      </w:pPr>
      <w:bookmarkStart w:id="26" w:name="_Toc15377212"/>
      <w:r>
        <w:rPr>
          <w:rFonts w:hint="eastAsia" w:ascii="仿宋" w:hAnsi="仿宋" w:eastAsia="仿宋"/>
          <w:b/>
          <w:sz w:val="32"/>
          <w:szCs w:val="32"/>
        </w:rPr>
        <w:t>（三）一般公共预算财政拨款支出决算具体情况</w:t>
      </w:r>
      <w:bookmarkEnd w:id="26"/>
    </w:p>
    <w:p w14:paraId="4A940978">
      <w:pPr>
        <w:spacing w:line="600" w:lineRule="exact"/>
        <w:ind w:firstLine="643" w:firstLineChars="200"/>
        <w:outlineLvl w:val="2"/>
        <w:rPr>
          <w:rFonts w:ascii="仿宋" w:hAnsi="仿宋" w:eastAsia="仿宋"/>
          <w:sz w:val="32"/>
          <w:szCs w:val="32"/>
        </w:rPr>
      </w:pPr>
      <w:bookmarkStart w:id="27" w:name="_Toc15378460"/>
      <w:bookmarkStart w:id="28" w:name="_Toc15377444"/>
      <w:bookmarkStart w:id="29" w:name="_Toc15377213"/>
      <w:r>
        <w:rPr>
          <w:rFonts w:hint="eastAsia" w:ascii="仿宋" w:hAnsi="仿宋" w:eastAsia="仿宋"/>
          <w:b/>
          <w:sz w:val="32"/>
          <w:szCs w:val="32"/>
        </w:rPr>
        <w:t>2023年度一般公共预算支出决算数为</w:t>
      </w:r>
      <w:r>
        <w:rPr>
          <w:rFonts w:ascii="仿宋" w:hAnsi="仿宋" w:eastAsia="仿宋"/>
          <w:b/>
          <w:sz w:val="32"/>
          <w:szCs w:val="32"/>
        </w:rPr>
        <w:t>276.97</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27"/>
      <w:bookmarkEnd w:id="28"/>
      <w:bookmarkEnd w:id="29"/>
    </w:p>
    <w:p w14:paraId="3E4E233C">
      <w:pPr>
        <w:spacing w:line="600" w:lineRule="exact"/>
        <w:ind w:firstLine="643" w:firstLineChars="200"/>
        <w:rPr>
          <w:rStyle w:val="16"/>
          <w:rFonts w:hint="eastAsia" w:ascii="仿宋" w:hAnsi="仿宋" w:eastAsia="仿宋"/>
          <w:b w:val="0"/>
          <w:bCs/>
          <w:sz w:val="32"/>
          <w:szCs w:val="32"/>
          <w:lang w:val="en-US" w:eastAsia="zh-CN"/>
        </w:rPr>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Style w:val="16"/>
          <w:rFonts w:hint="eastAsia" w:ascii="仿宋" w:hAnsi="仿宋" w:eastAsia="仿宋"/>
          <w:bCs/>
          <w:sz w:val="32"/>
          <w:szCs w:val="32"/>
        </w:rPr>
        <w:t>教育（类）普通教育（款）小学教育（项）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支出决算为208.96万元，完成预算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lang w:eastAsia="zh-CN"/>
        </w:rPr>
        <w:t>。</w:t>
      </w:r>
    </w:p>
    <w:p w14:paraId="21BDBB27">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社会保障和就业（类）行政事业单位养老支出（款）事业单位离退休（项）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支出决算为14万元；</w:t>
      </w:r>
      <w:r>
        <w:rPr>
          <w:rStyle w:val="16"/>
          <w:rFonts w:hint="eastAsia" w:ascii="仿宋" w:hAnsi="仿宋" w:eastAsia="仿宋"/>
          <w:sz w:val="32"/>
          <w:szCs w:val="32"/>
        </w:rPr>
        <w:t>机关事业单位基本养老保险缴费支出（项）</w:t>
      </w:r>
      <w:r>
        <w:rPr>
          <w:rStyle w:val="16"/>
          <w:rFonts w:hint="eastAsia" w:ascii="仿宋" w:hAnsi="仿宋" w:eastAsia="仿宋"/>
          <w:b w:val="0"/>
          <w:bCs/>
          <w:sz w:val="32"/>
          <w:szCs w:val="32"/>
        </w:rPr>
        <w:t>支出决算为22.9万元；</w:t>
      </w:r>
      <w:r>
        <w:rPr>
          <w:rStyle w:val="16"/>
          <w:rFonts w:hint="eastAsia" w:ascii="仿宋" w:hAnsi="仿宋" w:eastAsia="仿宋"/>
          <w:sz w:val="32"/>
          <w:szCs w:val="32"/>
        </w:rPr>
        <w:t>残疾人事业（款）残疾人就业（项）</w:t>
      </w:r>
      <w:r>
        <w:rPr>
          <w:rStyle w:val="16"/>
          <w:rFonts w:hint="eastAsia" w:ascii="仿宋" w:hAnsi="仿宋" w:eastAsia="仿宋"/>
          <w:b w:val="0"/>
          <w:bCs/>
          <w:sz w:val="32"/>
          <w:szCs w:val="32"/>
        </w:rPr>
        <w:t>支出决算为0.62万元；</w:t>
      </w:r>
      <w:r>
        <w:rPr>
          <w:rStyle w:val="16"/>
          <w:rFonts w:hint="eastAsia" w:ascii="仿宋" w:hAnsi="仿宋" w:eastAsia="仿宋"/>
          <w:sz w:val="32"/>
          <w:szCs w:val="32"/>
        </w:rPr>
        <w:t>其他社会保障和就业支出（款）其他社会保障和就业支出（项）</w:t>
      </w:r>
      <w:r>
        <w:rPr>
          <w:rStyle w:val="16"/>
          <w:rFonts w:hint="eastAsia" w:ascii="仿宋" w:hAnsi="仿宋" w:eastAsia="仿宋"/>
          <w:b w:val="0"/>
          <w:bCs/>
          <w:sz w:val="32"/>
          <w:szCs w:val="32"/>
        </w:rPr>
        <w:t>支出决算为2.48万元。完成预算100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1108C659">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支出决算为8.57万元，</w:t>
      </w:r>
      <w:r>
        <w:rPr>
          <w:rStyle w:val="16"/>
          <w:rFonts w:hint="eastAsia" w:ascii="仿宋" w:hAnsi="仿宋" w:eastAsia="仿宋"/>
          <w:sz w:val="32"/>
          <w:szCs w:val="32"/>
        </w:rPr>
        <w:t>其他行政事业单位医疗（项）</w:t>
      </w:r>
      <w:r>
        <w:rPr>
          <w:rStyle w:val="16"/>
          <w:rFonts w:hint="eastAsia" w:ascii="仿宋" w:hAnsi="仿宋" w:eastAsia="仿宋"/>
          <w:b w:val="0"/>
          <w:bCs/>
          <w:sz w:val="32"/>
          <w:szCs w:val="32"/>
        </w:rPr>
        <w:t>支出决算为1.15万元。完成预算100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59F1494">
      <w:pPr>
        <w:bidi w:val="0"/>
        <w:ind w:firstLine="643" w:firstLineChars="200"/>
        <w:rPr>
          <w:sz w:val="32"/>
          <w:szCs w:val="32"/>
        </w:rPr>
      </w:pPr>
      <w:r>
        <w:rPr>
          <w:rStyle w:val="16"/>
          <w:rFonts w:hint="eastAsia" w:ascii="仿宋" w:hAnsi="仿宋" w:eastAsia="仿宋" w:cs="仿宋"/>
          <w:b/>
          <w:bCs w:val="0"/>
          <w:sz w:val="32"/>
          <w:szCs w:val="32"/>
          <w:lang w:val="en-US" w:eastAsia="zh-CN"/>
        </w:rPr>
        <w:t>4</w:t>
      </w:r>
      <w:r>
        <w:rPr>
          <w:rStyle w:val="16"/>
          <w:rFonts w:hint="eastAsia" w:ascii="仿宋" w:hAnsi="仿宋" w:eastAsia="仿宋" w:cs="仿宋"/>
          <w:b/>
          <w:bCs w:val="0"/>
          <w:sz w:val="32"/>
          <w:szCs w:val="32"/>
        </w:rPr>
        <w:t>.</w:t>
      </w:r>
      <w:r>
        <w:rPr>
          <w:rFonts w:hint="eastAsia" w:ascii="仿宋" w:hAnsi="仿宋" w:eastAsia="仿宋" w:cs="仿宋"/>
          <w:b/>
          <w:bCs w:val="0"/>
          <w:sz w:val="32"/>
          <w:szCs w:val="32"/>
        </w:rPr>
        <w:t>农林水（类）巩固脱贫衔接乡村振兴（款）社会发展</w:t>
      </w:r>
      <w:r>
        <w:rPr>
          <w:rFonts w:hint="eastAsia" w:ascii="仿宋" w:hAnsi="仿宋" w:eastAsia="仿宋" w:cs="仿宋"/>
          <w:b/>
          <w:bCs/>
          <w:sz w:val="32"/>
          <w:szCs w:val="32"/>
        </w:rPr>
        <w:t>（项）</w:t>
      </w:r>
      <w:r>
        <w:rPr>
          <w:rStyle w:val="16"/>
          <w:rFonts w:hint="eastAsia" w:ascii="仿宋" w:hAnsi="仿宋" w:eastAsia="仿宋" w:cs="仿宋"/>
          <w:b w:val="0"/>
          <w:sz w:val="32"/>
          <w:szCs w:val="32"/>
        </w:rPr>
        <w:t>支出决算为1.33万元，完成预算100%。</w:t>
      </w:r>
    </w:p>
    <w:p w14:paraId="547A01AA">
      <w:p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.住房保障（类）住房改革支出（款）住房公积金（项）</w:t>
      </w:r>
      <w:r>
        <w:rPr>
          <w:rStyle w:val="16"/>
          <w:rFonts w:hint="eastAsia" w:ascii="仿宋" w:hAnsi="仿宋" w:eastAsia="仿宋"/>
          <w:b w:val="0"/>
          <w:bCs/>
          <w:sz w:val="32"/>
          <w:szCs w:val="32"/>
        </w:rPr>
        <w:t>支出决算为16.97万元，完成预算100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159B6F07">
      <w:pPr>
        <w:tabs>
          <w:tab w:val="right" w:pos="8306"/>
        </w:tabs>
        <w:spacing w:line="600" w:lineRule="exact"/>
        <w:ind w:firstLine="640"/>
        <w:outlineLvl w:val="1"/>
        <w:rPr>
          <w:rStyle w:val="29"/>
        </w:rPr>
      </w:pPr>
      <w:bookmarkStart w:id="30" w:name="_Toc15396608"/>
      <w:bookmarkStart w:id="3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0"/>
      <w:bookmarkEnd w:id="31"/>
      <w:r>
        <w:rPr>
          <w:rStyle w:val="29"/>
          <w:rFonts w:ascii="黑体" w:hAnsi="黑体" w:eastAsia="黑体"/>
          <w:b w:val="0"/>
        </w:rPr>
        <w:tab/>
      </w:r>
    </w:p>
    <w:p w14:paraId="59FEB698">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275.63</w:t>
      </w:r>
      <w:r>
        <w:rPr>
          <w:rFonts w:hint="eastAsia" w:ascii="仿宋" w:hAnsi="仿宋" w:eastAsia="仿宋"/>
          <w:sz w:val="32"/>
          <w:szCs w:val="32"/>
        </w:rPr>
        <w:t>万元，其中：</w:t>
      </w:r>
    </w:p>
    <w:p w14:paraId="30CE9CD0">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259.17</w:t>
      </w:r>
      <w:r>
        <w:rPr>
          <w:rFonts w:hint="eastAsia" w:ascii="仿宋" w:hAnsi="仿宋" w:eastAsia="仿宋"/>
          <w:sz w:val="32"/>
          <w:szCs w:val="32"/>
        </w:rPr>
        <w:t>万元，主要包括：基本工资、津贴补贴、奖金、绩效工资、机关事业单位基本养老保险缴费、其他社会保障缴费、其他工资福利支出、退休费、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eastAsia" w:ascii="仿宋" w:hAnsi="仿宋" w:eastAsia="仿宋"/>
          <w:sz w:val="32"/>
          <w:szCs w:val="32"/>
        </w:rPr>
        <w:t>公用经费</w:t>
      </w:r>
      <w:r>
        <w:rPr>
          <w:rFonts w:ascii="仿宋" w:hAnsi="仿宋" w:eastAsia="仿宋"/>
          <w:b/>
          <w:sz w:val="32"/>
          <w:szCs w:val="32"/>
        </w:rPr>
        <w:t>16.46</w:t>
      </w:r>
      <w:r>
        <w:rPr>
          <w:rFonts w:hint="eastAsia" w:ascii="仿宋" w:hAnsi="仿宋" w:eastAsia="仿宋"/>
          <w:sz w:val="32"/>
          <w:szCs w:val="32"/>
        </w:rPr>
        <w:t>万元，主要包括：办公费、印刷费、咨询费、手续费、电费、邮电费、物业管理费、差旅费、维修（护）费、培训费、劳务费、工会经费、福利费、其他商品和服务支出、专用设备购置、其他资本性支出等。</w:t>
      </w:r>
    </w:p>
    <w:p w14:paraId="4F7C6717">
      <w:pPr>
        <w:spacing w:line="600" w:lineRule="exact"/>
        <w:ind w:firstLine="640"/>
        <w:outlineLvl w:val="1"/>
        <w:rPr>
          <w:rStyle w:val="29"/>
          <w:rFonts w:ascii="黑体" w:hAnsi="黑体" w:eastAsia="黑体"/>
          <w:b w:val="0"/>
        </w:rPr>
      </w:pPr>
      <w:bookmarkStart w:id="32" w:name="_Toc15377215"/>
      <w:bookmarkStart w:id="33"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2"/>
      <w:bookmarkEnd w:id="33"/>
    </w:p>
    <w:p w14:paraId="53B64493">
      <w:pPr>
        <w:spacing w:line="600" w:lineRule="exact"/>
        <w:ind w:firstLine="640"/>
        <w:outlineLvl w:val="2"/>
        <w:rPr>
          <w:rFonts w:ascii="仿宋" w:hAnsi="仿宋" w:eastAsia="仿宋"/>
          <w:b/>
          <w:sz w:val="32"/>
          <w:szCs w:val="32"/>
        </w:rPr>
      </w:pPr>
      <w:bookmarkStart w:id="34" w:name="_Toc15377216"/>
      <w:r>
        <w:rPr>
          <w:rFonts w:hint="eastAsia" w:ascii="仿宋" w:hAnsi="仿宋" w:eastAsia="仿宋"/>
          <w:b/>
          <w:sz w:val="32"/>
          <w:szCs w:val="32"/>
        </w:rPr>
        <w:t>（一）“三公”经费财政拨款支出决算总体情况说明</w:t>
      </w:r>
      <w:bookmarkEnd w:id="34"/>
    </w:p>
    <w:p w14:paraId="00FE6EF5">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，较上年度减少0.06万元，下降100%。决算数小于预算数的主要原因是本年度“三公”经费支出0万元。</w:t>
      </w:r>
    </w:p>
    <w:p w14:paraId="3CD6883D">
      <w:pPr>
        <w:spacing w:line="600" w:lineRule="exact"/>
        <w:ind w:firstLine="640"/>
        <w:outlineLvl w:val="2"/>
        <w:rPr>
          <w:rFonts w:ascii="仿宋" w:hAnsi="仿宋" w:eastAsia="仿宋"/>
          <w:b/>
          <w:sz w:val="32"/>
          <w:szCs w:val="32"/>
        </w:rPr>
      </w:pPr>
      <w:bookmarkStart w:id="35" w:name="_Toc15377217"/>
      <w:r>
        <w:rPr>
          <w:rFonts w:hint="eastAsia" w:ascii="仿宋" w:hAnsi="仿宋" w:eastAsia="仿宋"/>
          <w:b/>
          <w:sz w:val="32"/>
          <w:szCs w:val="32"/>
        </w:rPr>
        <w:t>（二）“三公”经费财政拨款支出决算具体情况说明</w:t>
      </w:r>
      <w:bookmarkEnd w:id="35"/>
    </w:p>
    <w:p w14:paraId="49F25896">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8CF3F87">
      <w:pPr>
        <w:spacing w:line="600" w:lineRule="exact"/>
        <w:ind w:firstLine="64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258445</wp:posOffset>
            </wp:positionH>
            <wp:positionV relativeFrom="paragraph">
              <wp:posOffset>223520</wp:posOffset>
            </wp:positionV>
            <wp:extent cx="4570730" cy="2098040"/>
            <wp:effectExtent l="4445" t="4445" r="15875" b="1206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AAA95AC">
      <w:pPr>
        <w:spacing w:line="600" w:lineRule="exact"/>
        <w:ind w:firstLine="640"/>
        <w:rPr>
          <w:rFonts w:ascii="仿宋" w:hAnsi="仿宋" w:eastAsia="仿宋"/>
          <w:sz w:val="32"/>
          <w:szCs w:val="32"/>
        </w:rPr>
      </w:pPr>
    </w:p>
    <w:p w14:paraId="7B3ADA09">
      <w:pPr>
        <w:spacing w:line="600" w:lineRule="exact"/>
        <w:ind w:firstLine="640"/>
        <w:rPr>
          <w:rFonts w:ascii="仿宋" w:hAnsi="仿宋" w:eastAsia="仿宋"/>
          <w:sz w:val="32"/>
          <w:szCs w:val="32"/>
        </w:rPr>
      </w:pPr>
    </w:p>
    <w:p w14:paraId="2CF83DF9">
      <w:pPr>
        <w:spacing w:line="600" w:lineRule="exact"/>
        <w:rPr>
          <w:rFonts w:ascii="仿宋" w:hAnsi="仿宋" w:eastAsia="仿宋"/>
          <w:sz w:val="32"/>
          <w:szCs w:val="32"/>
        </w:rPr>
      </w:pPr>
    </w:p>
    <w:p w14:paraId="0D550C89">
      <w:pPr>
        <w:numPr>
          <w:ilvl w:val="0"/>
          <w:numId w:val="0"/>
        </w:numPr>
        <w:bidi w:val="0"/>
        <w:rPr>
          <w:rFonts w:ascii="仿宋_GB2312" w:eastAsia="仿宋_GB2312"/>
          <w:sz w:val="32"/>
          <w:szCs w:val="32"/>
        </w:rPr>
      </w:pPr>
      <w:bookmarkStart w:id="36" w:name="_Toc15377218"/>
      <w:bookmarkStart w:id="37" w:name="_Toc15396610"/>
    </w:p>
    <w:p w14:paraId="0BC43A29">
      <w:pPr>
        <w:numPr>
          <w:ilvl w:val="0"/>
          <w:numId w:val="0"/>
        </w:numPr>
        <w:bidi w:val="0"/>
        <w:rPr>
          <w:rFonts w:ascii="仿宋_GB2312" w:eastAsia="仿宋_GB2312"/>
          <w:sz w:val="32"/>
          <w:szCs w:val="32"/>
        </w:rPr>
      </w:pPr>
    </w:p>
    <w:p w14:paraId="0747401D">
      <w:pPr>
        <w:numPr>
          <w:ilvl w:val="0"/>
          <w:numId w:val="0"/>
        </w:numPr>
        <w:bidi w:val="0"/>
        <w:rPr>
          <w:rFonts w:ascii="仿宋_GB2312" w:eastAsia="仿宋_GB2312"/>
          <w:sz w:val="32"/>
          <w:szCs w:val="32"/>
        </w:rPr>
      </w:pPr>
    </w:p>
    <w:p w14:paraId="69212098">
      <w:pPr>
        <w:numPr>
          <w:ilvl w:val="0"/>
          <w:numId w:val="0"/>
        </w:numPr>
        <w:bidi w:val="0"/>
        <w:ind w:firstLine="640" w:firstLineChars="200"/>
        <w:rPr>
          <w:rFonts w:ascii="仿宋_GB2312" w:eastAsia="仿宋_GB2312"/>
          <w:sz w:val="32"/>
          <w:szCs w:val="32"/>
        </w:rPr>
      </w:pPr>
      <w:r>
        <w:rPr>
          <w:rFonts w:hint="eastAsia" w:ascii="仿宋_GB2312" w:eastAsia="仿宋_GB2312" w:cs="Times New Roman"/>
          <w:kern w:val="2"/>
          <w:sz w:val="32"/>
          <w:szCs w:val="32"/>
          <w:lang w:val="en-US" w:eastAsia="zh-CN" w:bidi="ar-SA"/>
        </w:rPr>
        <w:t>1</w:t>
      </w:r>
      <w:r>
        <w:rPr>
          <w:rFonts w:ascii="仿宋_GB2312" w:hAnsi="Times New Roman" w:eastAsia="仿宋_GB2312" w:cs="Times New Roman"/>
          <w:kern w:val="2"/>
          <w:sz w:val="32"/>
          <w:szCs w:val="32"/>
          <w:lang w:val="en-US" w:eastAsia="zh-CN" w:bidi="ar-SA"/>
        </w:rPr>
        <w:t>.</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1F25BFF1">
      <w:pPr>
        <w:numPr>
          <w:ilvl w:val="0"/>
          <w:numId w:val="0"/>
        </w:numPr>
        <w:spacing w:line="600" w:lineRule="exact"/>
        <w:rPr>
          <w:rFonts w:ascii="仿宋_GB2312" w:eastAsia="仿宋_GB2312"/>
          <w:sz w:val="32"/>
          <w:szCs w:val="32"/>
        </w:rPr>
      </w:pP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人。因公出国（境）支出决算与2022年持平。</w:t>
      </w:r>
    </w:p>
    <w:p w14:paraId="60EF2466">
      <w:p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公务用车购置及运行维护费支出决算与2022年持平。</w:t>
      </w:r>
    </w:p>
    <w:p w14:paraId="1A9BA56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万元。全年按规定更新购置公务用车0辆，其中：轿车0辆、金额0万元，越野车0辆、金额0万元，载客汽车0辆、金额0万元。截至2023年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14:paraId="1753B3C3">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4EF4E8FD">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公务接待费支出决算比2022年度减少0.06万元，下降100</w:t>
      </w:r>
      <w:r>
        <w:rPr>
          <w:rFonts w:ascii="仿宋_GB2312" w:eastAsia="仿宋_GB2312"/>
          <w:sz w:val="32"/>
          <w:szCs w:val="32"/>
        </w:rPr>
        <w:t>%</w:t>
      </w:r>
      <w:r>
        <w:rPr>
          <w:rFonts w:hint="eastAsia" w:ascii="仿宋_GB2312" w:eastAsia="仿宋_GB2312"/>
          <w:sz w:val="32"/>
          <w:szCs w:val="32"/>
        </w:rPr>
        <w:t>。主要原因是本年度学校未开展公务接待活动。</w:t>
      </w:r>
    </w:p>
    <w:p w14:paraId="66D09B8C">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36"/>
      <w:bookmarkEnd w:id="37"/>
    </w:p>
    <w:p w14:paraId="7BD9E013">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D940264">
      <w:pPr>
        <w:numPr>
          <w:ilvl w:val="0"/>
          <w:numId w:val="3"/>
        </w:numPr>
        <w:spacing w:line="600" w:lineRule="exact"/>
        <w:ind w:firstLine="640"/>
        <w:outlineLvl w:val="1"/>
        <w:rPr>
          <w:rStyle w:val="29"/>
          <w:rFonts w:ascii="黑体" w:hAnsi="黑体" w:eastAsia="黑体"/>
          <w:b w:val="0"/>
        </w:rPr>
      </w:pPr>
      <w:bookmarkStart w:id="38" w:name="_Toc15396611"/>
      <w:bookmarkStart w:id="39" w:name="_Toc15377219"/>
      <w:r>
        <w:rPr>
          <w:rStyle w:val="29"/>
          <w:rFonts w:hint="eastAsia" w:ascii="黑体" w:hAnsi="黑体" w:eastAsia="黑体"/>
          <w:b w:val="0"/>
        </w:rPr>
        <w:t>国有资本经营预算支出决算情况说明</w:t>
      </w:r>
      <w:bookmarkEnd w:id="38"/>
      <w:bookmarkEnd w:id="39"/>
    </w:p>
    <w:p w14:paraId="6BAA5D90">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219BE31">
      <w:pPr>
        <w:numPr>
          <w:ilvl w:val="0"/>
          <w:numId w:val="3"/>
        </w:numPr>
        <w:spacing w:line="600" w:lineRule="exact"/>
        <w:ind w:firstLine="640"/>
        <w:outlineLvl w:val="1"/>
        <w:rPr>
          <w:rStyle w:val="29"/>
          <w:rFonts w:ascii="黑体" w:hAnsi="黑体" w:eastAsia="黑体"/>
          <w:b w:val="0"/>
        </w:rPr>
      </w:pPr>
      <w:bookmarkStart w:id="40" w:name="_Toc15377221"/>
      <w:bookmarkStart w:id="41" w:name="_Toc15396612"/>
      <w:r>
        <w:rPr>
          <w:rStyle w:val="29"/>
          <w:rFonts w:hint="eastAsia" w:ascii="黑体" w:hAnsi="黑体" w:eastAsia="黑体"/>
          <w:b w:val="0"/>
        </w:rPr>
        <w:t>其他重要事项的情况说明</w:t>
      </w:r>
      <w:bookmarkEnd w:id="40"/>
      <w:bookmarkEnd w:id="41"/>
    </w:p>
    <w:p w14:paraId="0C60DF86">
      <w:pPr>
        <w:spacing w:line="600" w:lineRule="exact"/>
        <w:ind w:firstLine="643" w:firstLineChars="200"/>
        <w:outlineLvl w:val="2"/>
        <w:rPr>
          <w:rFonts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14:paraId="0F52783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射洪市太乙镇白龙小学校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543F882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14:paraId="664FCD19">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射洪市太乙镇白龙小学校</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DEE1C66">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4"/>
      <w:r>
        <w:rPr>
          <w:rFonts w:hint="eastAsia" w:ascii="仿宋" w:hAnsi="仿宋" w:eastAsia="仿宋"/>
          <w:b/>
          <w:sz w:val="32"/>
          <w:szCs w:val="32"/>
        </w:rPr>
        <w:t>（三）国有资产占有使用情况</w:t>
      </w:r>
      <w:bookmarkEnd w:id="44"/>
    </w:p>
    <w:p w14:paraId="3EE4A2B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射洪市太乙镇白龙小学校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7C9DA00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5DBF189">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根据预算绩效管理要求，本单位在2023年度预算编制阶段，组织对建档立卡学生免课后服务、建档立卡学生教辅资料和学平险补助</w:t>
      </w:r>
      <w:r>
        <w:rPr>
          <w:rFonts w:hint="eastAsia" w:ascii="仿宋_GB2312" w:eastAsia="仿宋_GB2312"/>
          <w:sz w:val="32"/>
          <w:szCs w:val="32"/>
          <w:lang w:val="en-US" w:eastAsia="zh-CN"/>
        </w:rPr>
        <w:t>2</w:t>
      </w:r>
      <w:r>
        <w:rPr>
          <w:rFonts w:hint="eastAsia" w:ascii="仿宋_GB2312" w:eastAsia="仿宋_GB2312"/>
          <w:sz w:val="32"/>
          <w:szCs w:val="32"/>
        </w:rPr>
        <w:t>个项目开展了预算事前绩效评估，对建档立卡学生免课后服务、建档立卡学生教辅资料和学平险补助项目编制了绩效目标，预算执行过程中，选取</w:t>
      </w:r>
      <w:r>
        <w:rPr>
          <w:rFonts w:hint="eastAsia" w:ascii="仿宋_GB2312" w:eastAsia="仿宋_GB2312"/>
          <w:sz w:val="32"/>
          <w:szCs w:val="32"/>
          <w:lang w:val="en-US" w:eastAsia="zh-CN"/>
        </w:rPr>
        <w:t>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w:t>
      </w:r>
      <w:r>
        <w:rPr>
          <w:rFonts w:hint="eastAsia" w:ascii="仿宋_GB2312" w:eastAsia="仿宋_GB2312"/>
          <w:sz w:val="32"/>
          <w:szCs w:val="32"/>
        </w:rPr>
        <w:t>个项目开展绩效自评，绩效自评表详见第四部分附件。</w:t>
      </w:r>
    </w:p>
    <w:p w14:paraId="61DAC123">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4437C9CE">
      <w:pPr>
        <w:numPr>
          <w:ilvl w:val="0"/>
          <w:numId w:val="4"/>
        </w:numPr>
        <w:spacing w:line="600" w:lineRule="exact"/>
        <w:ind w:firstLine="660" w:firstLineChars="150"/>
        <w:jc w:val="center"/>
        <w:outlineLvl w:val="0"/>
        <w:rPr>
          <w:rStyle w:val="28"/>
          <w:rFonts w:ascii="黑体" w:hAnsi="黑体" w:eastAsia="黑体"/>
          <w:b w:val="0"/>
        </w:rPr>
      </w:pPr>
      <w:bookmarkStart w:id="45" w:name="_Toc15396613"/>
      <w:bookmarkStart w:id="46" w:name="_Toc15377225"/>
      <w:r>
        <w:rPr>
          <w:rFonts w:hint="eastAsia" w:ascii="黑体" w:hAnsi="黑体" w:eastAsia="黑体"/>
          <w:sz w:val="44"/>
          <w:szCs w:val="44"/>
        </w:rPr>
        <w:t>名</w:t>
      </w:r>
      <w:r>
        <w:rPr>
          <w:rStyle w:val="28"/>
          <w:rFonts w:hint="eastAsia" w:ascii="黑体" w:hAnsi="黑体" w:eastAsia="黑体"/>
          <w:b w:val="0"/>
        </w:rPr>
        <w:t>词解释</w:t>
      </w:r>
      <w:bookmarkEnd w:id="45"/>
      <w:bookmarkEnd w:id="46"/>
    </w:p>
    <w:p w14:paraId="301149F6">
      <w:pPr>
        <w:spacing w:line="600" w:lineRule="exact"/>
        <w:jc w:val="left"/>
        <w:rPr>
          <w:rFonts w:ascii="宋体"/>
          <w:b/>
          <w:sz w:val="44"/>
          <w:szCs w:val="44"/>
        </w:rPr>
      </w:pPr>
    </w:p>
    <w:p w14:paraId="3777C29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F47E88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594D853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B88DD2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7196649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14:paraId="101F147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2B4CE2F2">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0BF029A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51327191">
      <w:pPr>
        <w:pStyle w:val="26"/>
        <w:spacing w:line="560" w:lineRule="exact"/>
        <w:ind w:firstLine="640" w:firstLineChars="200"/>
        <w:rPr>
          <w:rFonts w:ascii="仿宋_GB2312" w:eastAsia="仿宋_GB2312" w:cs="黑体"/>
          <w:color w:val="auto"/>
          <w:sz w:val="32"/>
          <w:szCs w:val="32"/>
        </w:rPr>
      </w:pPr>
      <w:r>
        <w:rPr>
          <w:rFonts w:hint="eastAsia" w:ascii="仿宋_GB2312" w:eastAsia="仿宋_GB2312" w:cs="黑体"/>
          <w:color w:val="auto"/>
          <w:sz w:val="32"/>
          <w:szCs w:val="32"/>
        </w:rPr>
        <w:t>9</w:t>
      </w:r>
      <w:r>
        <w:rPr>
          <w:rFonts w:ascii="仿宋_GB2312" w:eastAsia="仿宋_GB2312" w:cs="黑体"/>
          <w:color w:val="auto"/>
          <w:sz w:val="32"/>
          <w:szCs w:val="32"/>
        </w:rPr>
        <w:t>.</w:t>
      </w:r>
      <w:r>
        <w:rPr>
          <w:rFonts w:hint="eastAsia" w:ascii="仿宋_GB2312" w:eastAsia="仿宋_GB2312" w:cs="黑体"/>
          <w:color w:val="auto"/>
          <w:sz w:val="32"/>
          <w:szCs w:val="32"/>
        </w:rPr>
        <w:t>教育（类）普通教育（款）小学教育（项）：指学校的人员工资、日常运转以及教育等方面的支出。</w:t>
      </w:r>
    </w:p>
    <w:p w14:paraId="7CE54803">
      <w:pPr>
        <w:pStyle w:val="26"/>
        <w:spacing w:line="560" w:lineRule="exact"/>
        <w:ind w:firstLine="640" w:firstLineChars="200"/>
        <w:rPr>
          <w:rFonts w:ascii="仿宋_GB2312" w:eastAsia="仿宋_GB2312" w:cs="黑体"/>
          <w:color w:val="auto"/>
          <w:sz w:val="32"/>
          <w:szCs w:val="32"/>
        </w:rPr>
      </w:pPr>
      <w:r>
        <w:rPr>
          <w:rFonts w:hint="eastAsia" w:ascii="仿宋_GB2312" w:eastAsia="仿宋_GB2312" w:cs="黑体"/>
          <w:color w:val="auto"/>
          <w:sz w:val="32"/>
          <w:szCs w:val="32"/>
        </w:rPr>
        <w:t>10</w:t>
      </w:r>
      <w:r>
        <w:rPr>
          <w:rFonts w:ascii="仿宋_GB2312" w:eastAsia="仿宋_GB2312" w:cs="黑体"/>
          <w:color w:val="auto"/>
          <w:sz w:val="32"/>
          <w:szCs w:val="32"/>
        </w:rPr>
        <w:t>.</w:t>
      </w:r>
      <w:r>
        <w:rPr>
          <w:rFonts w:hint="eastAsia" w:ascii="仿宋_GB2312" w:eastAsia="仿宋_GB2312" w:cs="黑体"/>
          <w:color w:val="auto"/>
          <w:sz w:val="32"/>
          <w:szCs w:val="32"/>
        </w:rPr>
        <w:t>社会保障和就业（类）行政事业单位养老支出（款）机关事业单位基本养老保险缴费支出（项）：指单位实施养老保险制度由单位缴纳的基本养老保险费支出。</w:t>
      </w:r>
    </w:p>
    <w:p w14:paraId="4857CAA0">
      <w:pPr>
        <w:pStyle w:val="26"/>
        <w:spacing w:line="560" w:lineRule="exact"/>
        <w:ind w:firstLine="640" w:firstLineChars="200"/>
        <w:rPr>
          <w:rFonts w:ascii="仿宋_GB2312" w:eastAsia="仿宋_GB2312" w:cs="黑体"/>
          <w:color w:val="auto"/>
          <w:sz w:val="32"/>
          <w:szCs w:val="32"/>
        </w:rPr>
      </w:pPr>
      <w:r>
        <w:rPr>
          <w:rFonts w:hint="eastAsia" w:ascii="仿宋_GB2312" w:eastAsia="仿宋_GB2312" w:cs="黑体"/>
          <w:color w:val="auto"/>
          <w:sz w:val="32"/>
          <w:szCs w:val="32"/>
        </w:rPr>
        <w:t>11</w:t>
      </w:r>
      <w:r>
        <w:rPr>
          <w:rFonts w:ascii="仿宋_GB2312" w:eastAsia="仿宋_GB2312" w:cs="黑体"/>
          <w:color w:val="auto"/>
          <w:sz w:val="32"/>
          <w:szCs w:val="32"/>
        </w:rPr>
        <w:t>.</w:t>
      </w:r>
      <w:r>
        <w:rPr>
          <w:rFonts w:hint="eastAsia" w:ascii="仿宋_GB2312" w:eastAsia="仿宋_GB2312" w:cs="黑体"/>
          <w:color w:val="auto"/>
          <w:sz w:val="32"/>
          <w:szCs w:val="32"/>
        </w:rPr>
        <w:t>农林水（类）扶贫（款）社会发展（项）：指本单位贫困生减免支出。</w:t>
      </w:r>
    </w:p>
    <w:p w14:paraId="47B87728">
      <w:pPr>
        <w:pStyle w:val="26"/>
        <w:spacing w:line="560" w:lineRule="exact"/>
        <w:ind w:firstLine="640" w:firstLineChars="200"/>
        <w:rPr>
          <w:rFonts w:ascii="仿宋_GB2312" w:eastAsia="仿宋_GB2312" w:cs="黑体"/>
          <w:color w:val="auto"/>
          <w:sz w:val="32"/>
          <w:szCs w:val="32"/>
        </w:rPr>
      </w:pPr>
      <w:r>
        <w:rPr>
          <w:rFonts w:hint="eastAsia" w:ascii="仿宋_GB2312" w:eastAsia="仿宋_GB2312" w:cs="黑体"/>
          <w:color w:val="auto"/>
          <w:sz w:val="32"/>
          <w:szCs w:val="32"/>
        </w:rPr>
        <w:t>12</w:t>
      </w:r>
      <w:r>
        <w:rPr>
          <w:rFonts w:ascii="仿宋_GB2312" w:eastAsia="仿宋_GB2312" w:cs="黑体"/>
          <w:color w:val="auto"/>
          <w:sz w:val="32"/>
          <w:szCs w:val="32"/>
        </w:rPr>
        <w:t>.</w:t>
      </w:r>
      <w:r>
        <w:rPr>
          <w:rFonts w:hint="eastAsia" w:ascii="仿宋_GB2312" w:eastAsia="仿宋_GB2312" w:cs="黑体"/>
          <w:color w:val="auto"/>
          <w:sz w:val="32"/>
          <w:szCs w:val="32"/>
        </w:rPr>
        <w:t>基本支出：指为保障机构正常运转、完成日常工作任务而发生的人员支出和公用支出。</w:t>
      </w:r>
    </w:p>
    <w:p w14:paraId="0E939E4B">
      <w:pPr>
        <w:pStyle w:val="26"/>
        <w:spacing w:line="560" w:lineRule="exact"/>
        <w:ind w:firstLine="640" w:firstLineChars="200"/>
        <w:rPr>
          <w:rFonts w:ascii="仿宋_GB2312" w:eastAsia="仿宋_GB2312" w:cs="黑体"/>
          <w:color w:val="auto"/>
          <w:sz w:val="32"/>
          <w:szCs w:val="32"/>
        </w:rPr>
      </w:pPr>
      <w:r>
        <w:rPr>
          <w:rFonts w:hint="eastAsia" w:ascii="仿宋_GB2312" w:eastAsia="仿宋_GB2312" w:cs="黑体"/>
          <w:color w:val="auto"/>
          <w:sz w:val="32"/>
          <w:szCs w:val="32"/>
        </w:rPr>
        <w:t>13</w:t>
      </w:r>
      <w:r>
        <w:rPr>
          <w:rFonts w:ascii="仿宋_GB2312" w:eastAsia="仿宋_GB2312" w:cs="黑体"/>
          <w:color w:val="auto"/>
          <w:sz w:val="32"/>
          <w:szCs w:val="32"/>
        </w:rPr>
        <w:t>.</w:t>
      </w:r>
      <w:r>
        <w:rPr>
          <w:rFonts w:hint="eastAsia" w:ascii="仿宋_GB2312" w:eastAsia="仿宋_GB2312" w:cs="黑体"/>
          <w:color w:val="auto"/>
          <w:sz w:val="32"/>
          <w:szCs w:val="32"/>
        </w:rPr>
        <w:t>项目支出：指在基本支出之外为完成特定行政任务和事业发展目标所发生的支出。</w:t>
      </w:r>
    </w:p>
    <w:p w14:paraId="21CE47AD">
      <w:pPr>
        <w:pStyle w:val="26"/>
        <w:spacing w:line="560" w:lineRule="exact"/>
        <w:ind w:firstLine="640" w:firstLineChars="200"/>
        <w:rPr>
          <w:rFonts w:ascii="仿宋_GB2312" w:eastAsia="仿宋_GB2312" w:cs="黑体"/>
          <w:color w:val="auto"/>
          <w:sz w:val="32"/>
          <w:szCs w:val="32"/>
          <w:lang w:val="zh-CN"/>
        </w:rPr>
      </w:pPr>
      <w:r>
        <w:rPr>
          <w:rFonts w:hint="eastAsia" w:ascii="仿宋_GB2312" w:eastAsia="仿宋_GB2312" w:cs="黑体"/>
          <w:color w:val="auto"/>
          <w:sz w:val="32"/>
          <w:szCs w:val="32"/>
        </w:rPr>
        <w:t>14</w:t>
      </w:r>
      <w:r>
        <w:rPr>
          <w:rFonts w:ascii="仿宋_GB2312" w:eastAsia="仿宋_GB2312" w:cs="黑体"/>
          <w:color w:val="auto"/>
          <w:sz w:val="32"/>
          <w:szCs w:val="32"/>
        </w:rPr>
        <w:t>.</w:t>
      </w:r>
      <w:r>
        <w:rPr>
          <w:rFonts w:hint="eastAsia" w:ascii="仿宋_GB2312" w:eastAsia="仿宋_GB2312" w:cs="黑体"/>
          <w:color w:val="auto"/>
          <w:sz w:val="32"/>
          <w:szCs w:val="32"/>
        </w:rPr>
        <w:t>“三公”经费：指部门用财政拨款安排的因公出国（境）</w:t>
      </w:r>
      <w:r>
        <w:rPr>
          <w:rFonts w:hint="eastAsia" w:ascii="仿宋_GB2312" w:eastAsia="仿宋_GB2312" w:cs="黑体"/>
          <w:color w:val="auto"/>
          <w:sz w:val="32"/>
          <w:szCs w:val="32"/>
          <w:lang w:val="zh-CN"/>
        </w:rPr>
        <w:t>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0956F2">
      <w:pPr>
        <w:pStyle w:val="26"/>
        <w:spacing w:line="560" w:lineRule="exact"/>
        <w:ind w:firstLine="640" w:firstLineChars="200"/>
        <w:rPr>
          <w:rFonts w:ascii="仿宋_GB2312" w:eastAsia="仿宋_GB2312" w:cs="黑体"/>
          <w:color w:val="auto"/>
          <w:sz w:val="32"/>
          <w:szCs w:val="32"/>
        </w:rPr>
      </w:pPr>
    </w:p>
    <w:p w14:paraId="522867F6">
      <w:pPr>
        <w:spacing w:line="600" w:lineRule="exact"/>
        <w:jc w:val="center"/>
        <w:outlineLvl w:val="0"/>
        <w:rPr>
          <w:rStyle w:val="28"/>
          <w:rFonts w:ascii="黑体" w:hAnsi="黑体" w:eastAsia="黑体"/>
          <w:b w:val="0"/>
        </w:rPr>
      </w:pPr>
      <w:bookmarkStart w:id="47" w:name="_Toc15377226"/>
      <w:r>
        <w:rPr>
          <w:rFonts w:ascii="宋体"/>
          <w:b/>
          <w:sz w:val="44"/>
          <w:szCs w:val="44"/>
        </w:rPr>
        <w:br w:type="page"/>
      </w:r>
      <w:bookmarkStart w:id="48" w:name="_Toc15396614"/>
      <w:r>
        <w:rPr>
          <w:rFonts w:hint="eastAsia" w:ascii="黑体" w:hAnsi="黑体" w:eastAsia="黑体"/>
          <w:sz w:val="44"/>
          <w:szCs w:val="44"/>
        </w:rPr>
        <w:t>第</w:t>
      </w:r>
      <w:r>
        <w:rPr>
          <w:rStyle w:val="28"/>
          <w:rFonts w:hint="eastAsia" w:ascii="黑体" w:hAnsi="黑体" w:eastAsia="黑体"/>
          <w:b w:val="0"/>
        </w:rPr>
        <w:t>四部分 附件</w:t>
      </w:r>
      <w:bookmarkEnd w:id="48"/>
    </w:p>
    <w:p w14:paraId="2352DF4E">
      <w:pPr>
        <w:pStyle w:val="2"/>
        <w:rPr>
          <w:rFonts w:hint="eastAsia"/>
        </w:rPr>
      </w:pPr>
    </w:p>
    <w:tbl>
      <w:tblPr>
        <w:tblStyle w:val="14"/>
        <w:tblW w:w="0" w:type="auto"/>
        <w:tblInd w:w="113" w:type="dxa"/>
        <w:tblLayout w:type="autofit"/>
        <w:tblCellMar>
          <w:top w:w="0" w:type="dxa"/>
          <w:left w:w="108" w:type="dxa"/>
          <w:bottom w:w="0" w:type="dxa"/>
          <w:right w:w="108" w:type="dxa"/>
        </w:tblCellMar>
      </w:tblPr>
      <w:tblGrid>
        <w:gridCol w:w="972"/>
        <w:gridCol w:w="1125"/>
        <w:gridCol w:w="713"/>
        <w:gridCol w:w="825"/>
        <w:gridCol w:w="581"/>
        <w:gridCol w:w="525"/>
        <w:gridCol w:w="581"/>
        <w:gridCol w:w="1204"/>
        <w:gridCol w:w="549"/>
        <w:gridCol w:w="549"/>
        <w:gridCol w:w="785"/>
      </w:tblGrid>
      <w:tr w14:paraId="4B673077">
        <w:tblPrEx>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5D712C">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5648F881">
        <w:tblPrEx>
          <w:tblCellMar>
            <w:top w:w="0" w:type="dxa"/>
            <w:left w:w="108" w:type="dxa"/>
            <w:bottom w:w="0" w:type="dxa"/>
            <w:right w:w="108" w:type="dxa"/>
          </w:tblCellMar>
        </w:tblPrEx>
        <w:trPr>
          <w:trHeight w:val="28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21B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011683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51098123T000007812024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市本级财政衔接推进乡村振兴资金（建档立卡学生免课后服务）</w:t>
            </w:r>
          </w:p>
        </w:tc>
      </w:tr>
      <w:tr w14:paraId="261BEA0E">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193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6FB641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射洪市教育和体育局部门</w:t>
            </w:r>
          </w:p>
        </w:tc>
        <w:tc>
          <w:tcPr>
            <w:tcW w:w="0" w:type="auto"/>
            <w:tcBorders>
              <w:top w:val="nil"/>
              <w:left w:val="nil"/>
              <w:bottom w:val="nil"/>
              <w:right w:val="nil"/>
            </w:tcBorders>
            <w:shd w:val="clear" w:color="auto" w:fill="auto"/>
            <w:vAlign w:val="center"/>
          </w:tcPr>
          <w:p w14:paraId="622A53C4">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74E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射洪市太乙镇白龙小学校</w:t>
            </w:r>
          </w:p>
        </w:tc>
      </w:tr>
      <w:tr w14:paraId="798884D4">
        <w:tblPrEx>
          <w:tblCellMar>
            <w:top w:w="0" w:type="dxa"/>
            <w:left w:w="108" w:type="dxa"/>
            <w:bottom w:w="0" w:type="dxa"/>
            <w:right w:w="108" w:type="dxa"/>
          </w:tblCellMar>
        </w:tblPrEx>
        <w:trPr>
          <w:trHeight w:val="287"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26226C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F3086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6E6798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65153917">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0E7C4747">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14:paraId="3D0687C9">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4D992276">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D5A56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eastAsia="宋体" w:cs="宋体"/>
                <w:i w:val="0"/>
                <w:iCs w:val="0"/>
                <w:color w:val="000000"/>
                <w:sz w:val="18"/>
                <w:szCs w:val="18"/>
                <w:u w:val="none"/>
                <w:lang w:val="en-US" w:eastAsia="zh-CN"/>
              </w:rPr>
              <w:t>2023年度完成</w:t>
            </w:r>
            <w:r>
              <w:rPr>
                <w:rFonts w:ascii="宋体" w:hAnsi="宋体" w:eastAsia="宋体" w:cs="宋体"/>
                <w:i w:val="0"/>
                <w:iCs w:val="0"/>
                <w:color w:val="000000"/>
                <w:kern w:val="0"/>
                <w:sz w:val="18"/>
                <w:szCs w:val="18"/>
                <w:u w:val="none"/>
                <w:lang w:val="en-US" w:eastAsia="zh-CN" w:bidi="ar"/>
              </w:rPr>
              <w:t>建档立卡学生免课后服务</w:t>
            </w:r>
            <w:r>
              <w:rPr>
                <w:rFonts w:hint="eastAsia" w:ascii="宋体" w:hAnsi="宋体" w:eastAsia="宋体" w:cs="宋体"/>
                <w:i w:val="0"/>
                <w:iCs w:val="0"/>
                <w:color w:val="000000"/>
                <w:kern w:val="0"/>
                <w:sz w:val="18"/>
                <w:szCs w:val="18"/>
                <w:u w:val="none"/>
                <w:lang w:val="en-US" w:eastAsia="zh-CN" w:bidi="ar"/>
              </w:rPr>
              <w:t>补助工作。</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0873CF23">
            <w:pPr>
              <w:widowControl/>
              <w:jc w:val="left"/>
              <w:rPr>
                <w:rFonts w:hint="eastAsia" w:ascii="黑体" w:hAnsi="黑体" w:eastAsia="黑体" w:cs="宋体"/>
                <w:color w:val="000000"/>
                <w:kern w:val="0"/>
                <w:sz w:val="18"/>
                <w:szCs w:val="18"/>
              </w:rPr>
            </w:pPr>
            <w:r>
              <w:rPr>
                <w:rFonts w:hint="eastAsia" w:ascii="宋体" w:hAnsi="宋体" w:eastAsia="宋体" w:cs="宋体"/>
                <w:i w:val="0"/>
                <w:iCs w:val="0"/>
                <w:color w:val="000000"/>
                <w:sz w:val="18"/>
                <w:szCs w:val="18"/>
                <w:u w:val="none"/>
                <w:lang w:val="en-US" w:eastAsia="zh-CN"/>
              </w:rPr>
              <w:t>2023年度完成</w:t>
            </w:r>
            <w:r>
              <w:rPr>
                <w:rFonts w:ascii="宋体" w:hAnsi="宋体" w:eastAsia="宋体" w:cs="宋体"/>
                <w:i w:val="0"/>
                <w:iCs w:val="0"/>
                <w:color w:val="000000"/>
                <w:kern w:val="0"/>
                <w:sz w:val="18"/>
                <w:szCs w:val="18"/>
                <w:u w:val="none"/>
                <w:lang w:val="en-US" w:eastAsia="zh-CN" w:bidi="ar"/>
              </w:rPr>
              <w:t>建档立卡学生免课后服务</w:t>
            </w:r>
            <w:r>
              <w:rPr>
                <w:rFonts w:hint="eastAsia" w:ascii="宋体" w:hAnsi="宋体" w:eastAsia="宋体" w:cs="宋体"/>
                <w:i w:val="0"/>
                <w:iCs w:val="0"/>
                <w:color w:val="000000"/>
                <w:kern w:val="0"/>
                <w:sz w:val="18"/>
                <w:szCs w:val="18"/>
                <w:u w:val="none"/>
                <w:lang w:val="en-US" w:eastAsia="zh-CN" w:bidi="ar"/>
              </w:rPr>
              <w:t>补助工作。</w:t>
            </w:r>
          </w:p>
        </w:tc>
      </w:tr>
      <w:tr w14:paraId="5581ADFC">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14:paraId="09A244B8">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E402E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3FABD6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1569A61F">
        <w:tblPrEx>
          <w:tblCellMar>
            <w:top w:w="0" w:type="dxa"/>
            <w:left w:w="108" w:type="dxa"/>
            <w:bottom w:w="0" w:type="dxa"/>
            <w:right w:w="108" w:type="dxa"/>
          </w:tblCellMar>
        </w:tblPrEx>
        <w:trPr>
          <w:trHeight w:val="362"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19663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7FA3F2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0369FC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68A79E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472CE5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680D7D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18AA95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1FA27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5794B5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B46340B">
        <w:tblPrEx>
          <w:tblCellMar>
            <w:top w:w="0" w:type="dxa"/>
            <w:left w:w="108" w:type="dxa"/>
            <w:bottom w:w="0" w:type="dxa"/>
            <w:right w:w="108" w:type="dxa"/>
          </w:tblCellMar>
        </w:tblPrEx>
        <w:trPr>
          <w:trHeight w:val="347" w:hRule="atLeast"/>
        </w:trPr>
        <w:tc>
          <w:tcPr>
            <w:tcW w:w="0" w:type="auto"/>
            <w:vMerge w:val="continue"/>
            <w:tcBorders>
              <w:top w:val="nil"/>
              <w:left w:val="single" w:color="000000" w:sz="4" w:space="0"/>
              <w:bottom w:val="single" w:color="000000" w:sz="4" w:space="0"/>
              <w:right w:val="single" w:color="000000" w:sz="4" w:space="0"/>
            </w:tcBorders>
            <w:vAlign w:val="center"/>
          </w:tcPr>
          <w:p w14:paraId="54D86979">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7530A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5A7F46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2DD3FF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1.15</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A9C31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1.15</w:t>
            </w:r>
          </w:p>
        </w:tc>
        <w:tc>
          <w:tcPr>
            <w:tcW w:w="0" w:type="auto"/>
            <w:tcBorders>
              <w:top w:val="nil"/>
              <w:left w:val="nil"/>
              <w:bottom w:val="single" w:color="000000" w:sz="4" w:space="0"/>
              <w:right w:val="single" w:color="000000" w:sz="4" w:space="0"/>
            </w:tcBorders>
            <w:shd w:val="clear" w:color="auto" w:fill="auto"/>
            <w:vAlign w:val="center"/>
          </w:tcPr>
          <w:p w14:paraId="43F2F0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27BE91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65C11D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659E673">
            <w:pPr>
              <w:widowControl/>
              <w:jc w:val="left"/>
              <w:rPr>
                <w:rFonts w:hint="eastAsia" w:ascii="黑体" w:hAnsi="黑体" w:eastAsia="黑体" w:cs="宋体"/>
                <w:i/>
                <w:iCs/>
                <w:color w:val="000000"/>
                <w:kern w:val="0"/>
                <w:sz w:val="18"/>
                <w:szCs w:val="18"/>
              </w:rPr>
            </w:pPr>
          </w:p>
        </w:tc>
      </w:tr>
      <w:tr w14:paraId="1DD3D12B">
        <w:tblPrEx>
          <w:tblCellMar>
            <w:top w:w="0" w:type="dxa"/>
            <w:left w:w="108" w:type="dxa"/>
            <w:bottom w:w="0" w:type="dxa"/>
            <w:right w:w="108" w:type="dxa"/>
          </w:tblCellMar>
        </w:tblPrEx>
        <w:trPr>
          <w:trHeight w:val="392" w:hRule="atLeast"/>
        </w:trPr>
        <w:tc>
          <w:tcPr>
            <w:tcW w:w="0" w:type="auto"/>
            <w:vMerge w:val="continue"/>
            <w:tcBorders>
              <w:top w:val="nil"/>
              <w:left w:val="single" w:color="000000" w:sz="4" w:space="0"/>
              <w:bottom w:val="single" w:color="000000" w:sz="4" w:space="0"/>
              <w:right w:val="single" w:color="000000" w:sz="4" w:space="0"/>
            </w:tcBorders>
            <w:vAlign w:val="center"/>
          </w:tcPr>
          <w:p w14:paraId="682AF048">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4BF13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014360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065020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1.15</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7D29E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1.15</w:t>
            </w:r>
          </w:p>
        </w:tc>
        <w:tc>
          <w:tcPr>
            <w:tcW w:w="0" w:type="auto"/>
            <w:tcBorders>
              <w:top w:val="nil"/>
              <w:left w:val="nil"/>
              <w:bottom w:val="single" w:color="000000" w:sz="4" w:space="0"/>
              <w:right w:val="single" w:color="000000" w:sz="4" w:space="0"/>
            </w:tcBorders>
            <w:shd w:val="clear" w:color="auto" w:fill="auto"/>
            <w:vAlign w:val="center"/>
          </w:tcPr>
          <w:p w14:paraId="62D8B1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60D369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4D86BD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71C65A30">
            <w:pPr>
              <w:widowControl/>
              <w:jc w:val="left"/>
              <w:rPr>
                <w:rFonts w:ascii="黑体" w:hAnsi="黑体" w:eastAsia="黑体" w:cs="宋体"/>
                <w:i/>
                <w:iCs/>
                <w:color w:val="000000"/>
                <w:kern w:val="0"/>
                <w:sz w:val="18"/>
                <w:szCs w:val="18"/>
              </w:rPr>
            </w:pPr>
          </w:p>
        </w:tc>
      </w:tr>
      <w:tr w14:paraId="6FB0EBC0">
        <w:tblPrEx>
          <w:tblCellMar>
            <w:top w:w="0" w:type="dxa"/>
            <w:left w:w="108" w:type="dxa"/>
            <w:bottom w:w="0" w:type="dxa"/>
            <w:right w:w="108" w:type="dxa"/>
          </w:tblCellMar>
        </w:tblPrEx>
        <w:trPr>
          <w:trHeight w:val="407" w:hRule="atLeast"/>
        </w:trPr>
        <w:tc>
          <w:tcPr>
            <w:tcW w:w="0" w:type="auto"/>
            <w:vMerge w:val="continue"/>
            <w:tcBorders>
              <w:top w:val="nil"/>
              <w:left w:val="single" w:color="000000" w:sz="4" w:space="0"/>
              <w:bottom w:val="single" w:color="000000" w:sz="4" w:space="0"/>
              <w:right w:val="single" w:color="000000" w:sz="4" w:space="0"/>
            </w:tcBorders>
            <w:vAlign w:val="center"/>
          </w:tcPr>
          <w:p w14:paraId="2C79BA7F">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3E6FF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214243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14F71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2B63B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C36B9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C283E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60F6A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30528642">
            <w:pPr>
              <w:widowControl/>
              <w:jc w:val="left"/>
              <w:rPr>
                <w:rFonts w:ascii="黑体" w:hAnsi="黑体" w:eastAsia="黑体" w:cs="宋体"/>
                <w:i/>
                <w:iCs/>
                <w:color w:val="000000"/>
                <w:kern w:val="0"/>
                <w:sz w:val="18"/>
                <w:szCs w:val="18"/>
              </w:rPr>
            </w:pPr>
          </w:p>
        </w:tc>
      </w:tr>
      <w:tr w14:paraId="2B69ED6F">
        <w:tblPrEx>
          <w:tblCellMar>
            <w:top w:w="0" w:type="dxa"/>
            <w:left w:w="108" w:type="dxa"/>
            <w:bottom w:w="0" w:type="dxa"/>
            <w:right w:w="108" w:type="dxa"/>
          </w:tblCellMar>
        </w:tblPrEx>
        <w:trPr>
          <w:trHeight w:val="362" w:hRule="atLeast"/>
        </w:trPr>
        <w:tc>
          <w:tcPr>
            <w:tcW w:w="0" w:type="auto"/>
            <w:vMerge w:val="continue"/>
            <w:tcBorders>
              <w:top w:val="nil"/>
              <w:left w:val="single" w:color="000000" w:sz="4" w:space="0"/>
              <w:bottom w:val="single" w:color="000000" w:sz="4" w:space="0"/>
              <w:right w:val="single" w:color="000000" w:sz="4" w:space="0"/>
            </w:tcBorders>
            <w:vAlign w:val="center"/>
          </w:tcPr>
          <w:p w14:paraId="39F0226A">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F67F6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0AC478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214710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450A7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630E0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358379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790D1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46651F4E">
            <w:pPr>
              <w:widowControl/>
              <w:jc w:val="left"/>
              <w:rPr>
                <w:rFonts w:ascii="黑体" w:hAnsi="黑体" w:eastAsia="黑体" w:cs="宋体"/>
                <w:i/>
                <w:iCs/>
                <w:color w:val="000000"/>
                <w:kern w:val="0"/>
                <w:sz w:val="18"/>
                <w:szCs w:val="18"/>
              </w:rPr>
            </w:pPr>
          </w:p>
        </w:tc>
      </w:tr>
      <w:tr w14:paraId="5BB2983D">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3DED7338">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235374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34FA6B3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001708D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3E1AA7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32D543A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33B6F6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5E4483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8D19D8D">
            <w:pPr>
              <w:widowControl/>
              <w:jc w:val="left"/>
              <w:rPr>
                <w:rFonts w:ascii="黑体" w:hAnsi="黑体" w:eastAsia="黑体" w:cs="宋体"/>
                <w:i/>
                <w:iCs/>
                <w:color w:val="000000"/>
                <w:kern w:val="0"/>
                <w:sz w:val="18"/>
                <w:szCs w:val="18"/>
              </w:rPr>
            </w:pPr>
          </w:p>
        </w:tc>
      </w:tr>
      <w:tr w14:paraId="460CE224">
        <w:tblPrEx>
          <w:tblCellMar>
            <w:top w:w="0" w:type="dxa"/>
            <w:left w:w="108" w:type="dxa"/>
            <w:bottom w:w="0" w:type="dxa"/>
            <w:right w:w="108" w:type="dxa"/>
          </w:tblCellMar>
        </w:tblPrEx>
        <w:trPr>
          <w:trHeight w:val="452"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ED767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37602F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2E02CA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5AF67B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0DDCB4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106DE9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001089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2255D3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5BE5F5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4A1AF3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59D274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D045B76">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6ADBF8B4">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0E6C5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23E29A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532B69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5AF9FE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383C80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2E755B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2FCE6E6A">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6BF4D1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525C78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0AC2A7B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B187B15">
        <w:tblPrEx>
          <w:tblCellMar>
            <w:top w:w="0" w:type="dxa"/>
            <w:left w:w="108" w:type="dxa"/>
            <w:bottom w:w="0" w:type="dxa"/>
            <w:right w:w="108" w:type="dxa"/>
          </w:tblCellMar>
        </w:tblPrEx>
        <w:trPr>
          <w:trHeight w:val="287"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7FCB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06DA17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1BAEB7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p>
        </w:tc>
        <w:tc>
          <w:tcPr>
            <w:tcW w:w="0" w:type="auto"/>
            <w:tcBorders>
              <w:top w:val="nil"/>
              <w:left w:val="nil"/>
              <w:bottom w:val="single" w:color="000000" w:sz="4" w:space="0"/>
              <w:right w:val="single" w:color="000000" w:sz="4" w:space="0"/>
            </w:tcBorders>
            <w:shd w:val="clear" w:color="auto" w:fill="auto"/>
            <w:vAlign w:val="center"/>
          </w:tcPr>
          <w:p w14:paraId="60F928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426DD37">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486572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6B02FD36">
            <w:pPr>
              <w:widowControl/>
              <w:jc w:val="left"/>
              <w:rPr>
                <w:rFonts w:hint="eastAsia"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该项资金</w:t>
            </w:r>
            <w:r>
              <w:rPr>
                <w:rFonts w:hint="eastAsia" w:ascii="宋体" w:hAnsi="宋体" w:cs="宋体"/>
                <w:i w:val="0"/>
                <w:iCs w:val="0"/>
                <w:color w:val="000000"/>
                <w:kern w:val="0"/>
                <w:sz w:val="18"/>
                <w:szCs w:val="18"/>
                <w:u w:val="none"/>
                <w:lang w:val="en-US" w:eastAsia="zh-CN" w:bidi="ar"/>
              </w:rPr>
              <w:t>预算执行率为100%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本项目的经费严格按照资金管理使用办法支出的范围使用。统一核算，按照项目计划安排和实际工作情况开支，做到了专款专用。</w:t>
            </w:r>
          </w:p>
        </w:tc>
      </w:tr>
      <w:tr w14:paraId="2A0C0F82">
        <w:tblPrEx>
          <w:tblCellMar>
            <w:top w:w="0" w:type="dxa"/>
            <w:left w:w="108" w:type="dxa"/>
            <w:bottom w:w="0" w:type="dxa"/>
            <w:right w:w="108" w:type="dxa"/>
          </w:tblCellMar>
        </w:tblPrEx>
        <w:trPr>
          <w:trHeight w:val="572"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0B1CA9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0D4A47C9">
            <w:pPr>
              <w:widowControl/>
              <w:jc w:val="left"/>
              <w:rPr>
                <w:rFonts w:hint="eastAsia" w:ascii="微软雅黑" w:hAnsi="微软雅黑" w:eastAsia="微软雅黑" w:cs="宋体"/>
                <w:i/>
                <w:iCs/>
                <w:color w:val="000000"/>
                <w:kern w:val="0"/>
                <w:sz w:val="16"/>
                <w:szCs w:val="16"/>
                <w:lang w:val="en-US" w:eastAsia="zh-CN"/>
              </w:rPr>
            </w:pPr>
            <w:r>
              <w:rPr>
                <w:rFonts w:hint="eastAsia" w:ascii="微软雅黑" w:hAnsi="微软雅黑" w:eastAsia="微软雅黑" w:cs="宋体"/>
                <w:i/>
                <w:iCs/>
                <w:color w:val="000000"/>
                <w:kern w:val="0"/>
                <w:sz w:val="16"/>
                <w:szCs w:val="16"/>
                <w:lang w:val="en-US" w:eastAsia="zh-CN"/>
              </w:rPr>
              <w:t>无</w:t>
            </w:r>
          </w:p>
        </w:tc>
      </w:tr>
      <w:tr w14:paraId="58162B39">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2EC826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3D9E7AE8">
            <w:pPr>
              <w:widowControl/>
              <w:jc w:val="left"/>
              <w:rPr>
                <w:rFonts w:hint="eastAsia" w:ascii="微软雅黑" w:hAnsi="微软雅黑" w:eastAsia="微软雅黑" w:cs="宋体"/>
                <w:i/>
                <w:iCs/>
                <w:color w:val="000000"/>
                <w:kern w:val="0"/>
                <w:sz w:val="16"/>
                <w:szCs w:val="16"/>
                <w:lang w:eastAsia="zh-CN"/>
              </w:rPr>
            </w:pPr>
            <w:r>
              <w:rPr>
                <w:rFonts w:hint="eastAsia" w:ascii="微软雅黑" w:hAnsi="微软雅黑" w:eastAsia="微软雅黑" w:cs="宋体"/>
                <w:i/>
                <w:iCs/>
                <w:color w:val="000000"/>
                <w:kern w:val="0"/>
                <w:sz w:val="16"/>
                <w:szCs w:val="16"/>
                <w:lang w:eastAsia="zh-CN"/>
              </w:rPr>
              <w:t>无</w:t>
            </w:r>
          </w:p>
        </w:tc>
      </w:tr>
      <w:tr w14:paraId="7793D2C6">
        <w:tblPrEx>
          <w:tblCellMar>
            <w:top w:w="0" w:type="dxa"/>
            <w:left w:w="108" w:type="dxa"/>
            <w:bottom w:w="0" w:type="dxa"/>
            <w:right w:w="108" w:type="dxa"/>
          </w:tblCellMar>
        </w:tblPrEx>
        <w:trPr>
          <w:trHeight w:val="28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9A6A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项目负责人：谢刚</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5331F5A7">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财务负责人：高兵</w:t>
            </w:r>
          </w:p>
        </w:tc>
      </w:tr>
      <w:tr w14:paraId="2058ED45">
        <w:tblPrEx>
          <w:tblCellMar>
            <w:top w:w="0" w:type="dxa"/>
            <w:left w:w="108" w:type="dxa"/>
            <w:bottom w:w="0" w:type="dxa"/>
            <w:right w:w="108" w:type="dxa"/>
          </w:tblCellMar>
        </w:tblPrEx>
        <w:trPr>
          <w:trHeight w:val="287" w:hRule="atLeast"/>
        </w:trPr>
        <w:tc>
          <w:tcPr>
            <w:tcW w:w="0" w:type="auto"/>
            <w:tcBorders>
              <w:top w:val="nil"/>
              <w:left w:val="nil"/>
              <w:bottom w:val="nil"/>
              <w:right w:val="nil"/>
            </w:tcBorders>
            <w:shd w:val="clear" w:color="auto" w:fill="auto"/>
            <w:vAlign w:val="center"/>
          </w:tcPr>
          <w:p w14:paraId="5F2C40BD">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D9D91EF">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B6E4FFD">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B7102E4">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4F9F55C">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734014E3">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0192C08F">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03CAE52">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568DC5F8">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4B698190">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vAlign w:val="center"/>
          </w:tcPr>
          <w:p w14:paraId="295456D3">
            <w:pPr>
              <w:widowControl/>
              <w:jc w:val="left"/>
              <w:rPr>
                <w:rFonts w:hint="eastAsia" w:ascii="宋体" w:hAnsi="宋体" w:cs="宋体"/>
                <w:kern w:val="0"/>
                <w:sz w:val="18"/>
                <w:szCs w:val="18"/>
              </w:rPr>
            </w:pPr>
            <w:r>
              <w:rPr>
                <w:rFonts w:hint="eastAsia" w:ascii="宋体" w:hAnsi="宋体" w:cs="宋体"/>
                <w:kern w:val="0"/>
                <w:sz w:val="18"/>
                <w:szCs w:val="18"/>
              </w:rPr>
              <w:t>　</w:t>
            </w:r>
          </w:p>
        </w:tc>
      </w:tr>
      <w:tr w14:paraId="48E63817">
        <w:tblPrEx>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39BB4C">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4C7F50E">
        <w:tblPrEx>
          <w:tblCellMar>
            <w:top w:w="0" w:type="dxa"/>
            <w:left w:w="108" w:type="dxa"/>
            <w:bottom w:w="0" w:type="dxa"/>
            <w:right w:w="108" w:type="dxa"/>
          </w:tblCellMar>
        </w:tblPrEx>
        <w:trPr>
          <w:trHeight w:val="28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EDF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2A23B2D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51098124Y000010150983-2023年市本级衔接资金—义务教育学校建档立卡学生教辅资料和学平险补助</w:t>
            </w:r>
          </w:p>
        </w:tc>
      </w:tr>
      <w:tr w14:paraId="30F58978">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2F3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69425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射洪市教育和体育局部门</w:t>
            </w:r>
          </w:p>
        </w:tc>
        <w:tc>
          <w:tcPr>
            <w:tcW w:w="0" w:type="auto"/>
            <w:tcBorders>
              <w:top w:val="nil"/>
              <w:left w:val="nil"/>
              <w:bottom w:val="nil"/>
              <w:right w:val="nil"/>
            </w:tcBorders>
            <w:shd w:val="clear" w:color="auto" w:fill="auto"/>
            <w:vAlign w:val="center"/>
          </w:tcPr>
          <w:p w14:paraId="5F85FD2B">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61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射洪市太乙镇白龙小学校</w:t>
            </w:r>
          </w:p>
        </w:tc>
      </w:tr>
      <w:tr w14:paraId="18DFFEF4">
        <w:tblPrEx>
          <w:tblCellMar>
            <w:top w:w="0" w:type="dxa"/>
            <w:left w:w="108" w:type="dxa"/>
            <w:bottom w:w="0" w:type="dxa"/>
            <w:right w:w="108" w:type="dxa"/>
          </w:tblCellMar>
        </w:tblPrEx>
        <w:trPr>
          <w:trHeight w:val="287"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7C6BF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159D3D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88A57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366E648A">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6D3E2F0D">
        <w:tblPrEx>
          <w:tblCellMar>
            <w:top w:w="0" w:type="dxa"/>
            <w:left w:w="108" w:type="dxa"/>
            <w:bottom w:w="0" w:type="dxa"/>
            <w:right w:w="108" w:type="dxa"/>
          </w:tblCellMar>
        </w:tblPrEx>
        <w:trPr>
          <w:trHeight w:val="709" w:hRule="atLeast"/>
        </w:trPr>
        <w:tc>
          <w:tcPr>
            <w:tcW w:w="0" w:type="auto"/>
            <w:vMerge w:val="continue"/>
            <w:tcBorders>
              <w:top w:val="nil"/>
              <w:left w:val="single" w:color="000000" w:sz="4" w:space="0"/>
              <w:bottom w:val="single" w:color="000000" w:sz="4" w:space="0"/>
              <w:right w:val="single" w:color="000000" w:sz="4" w:space="0"/>
            </w:tcBorders>
            <w:vAlign w:val="center"/>
          </w:tcPr>
          <w:p w14:paraId="3E6E8352">
            <w:pPr>
              <w:widowControl/>
              <w:jc w:val="left"/>
              <w:rPr>
                <w:rFonts w:ascii="宋体" w:hAnsi="宋体" w:cs="宋体"/>
                <w:color w:val="000000"/>
                <w:kern w:val="0"/>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14:paraId="1F17AB95">
            <w:pPr>
              <w:widowControl/>
              <w:jc w:val="left"/>
              <w:rPr>
                <w:rFonts w:ascii="宋体" w:hAnsi="宋体" w:cs="宋体"/>
                <w:color w:val="000000"/>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0AA773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r>
              <w:rPr>
                <w:rFonts w:hint="eastAsia" w:ascii="宋体" w:hAnsi="宋体" w:eastAsia="宋体" w:cs="宋体"/>
                <w:i w:val="0"/>
                <w:iCs w:val="0"/>
                <w:color w:val="000000"/>
                <w:kern w:val="0"/>
                <w:sz w:val="18"/>
                <w:szCs w:val="18"/>
                <w:u w:val="none"/>
                <w:lang w:val="en-US" w:eastAsia="zh-CN" w:bidi="ar"/>
              </w:rPr>
              <w:t>2023年度完成</w:t>
            </w:r>
            <w:r>
              <w:rPr>
                <w:rFonts w:ascii="宋体" w:hAnsi="宋体" w:eastAsia="宋体" w:cs="宋体"/>
                <w:i w:val="0"/>
                <w:iCs w:val="0"/>
                <w:color w:val="000000"/>
                <w:kern w:val="0"/>
                <w:sz w:val="18"/>
                <w:szCs w:val="18"/>
                <w:u w:val="none"/>
                <w:lang w:val="en-US" w:eastAsia="zh-CN" w:bidi="ar"/>
              </w:rPr>
              <w:t>义务教育学校建档立卡学生教辅资料和学平险补助</w:t>
            </w:r>
            <w:r>
              <w:rPr>
                <w:rFonts w:hint="eastAsia" w:ascii="宋体" w:hAnsi="宋体" w:eastAsia="宋体" w:cs="宋体"/>
                <w:i w:val="0"/>
                <w:iCs w:val="0"/>
                <w:color w:val="000000"/>
                <w:kern w:val="0"/>
                <w:sz w:val="18"/>
                <w:szCs w:val="18"/>
                <w:u w:val="none"/>
                <w:lang w:val="en-US" w:eastAsia="zh-CN" w:bidi="ar"/>
              </w:rPr>
              <w:t>。</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5E2DFA33">
            <w:pPr>
              <w:widowControl/>
              <w:jc w:val="left"/>
              <w:rPr>
                <w:rFonts w:hint="eastAsia" w:ascii="黑体" w:hAnsi="黑体" w:eastAsia="黑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2023年度完成</w:t>
            </w:r>
            <w:r>
              <w:rPr>
                <w:rFonts w:ascii="宋体" w:hAnsi="宋体" w:eastAsia="宋体" w:cs="宋体"/>
                <w:i w:val="0"/>
                <w:iCs w:val="0"/>
                <w:color w:val="000000"/>
                <w:kern w:val="0"/>
                <w:sz w:val="18"/>
                <w:szCs w:val="18"/>
                <w:u w:val="none"/>
                <w:lang w:val="en-US" w:eastAsia="zh-CN" w:bidi="ar"/>
              </w:rPr>
              <w:t>义务教育学校建档立卡学生教辅资料和学平险补助</w:t>
            </w:r>
            <w:r>
              <w:rPr>
                <w:rFonts w:hint="eastAsia" w:ascii="宋体" w:hAnsi="宋体" w:eastAsia="宋体" w:cs="宋体"/>
                <w:i w:val="0"/>
                <w:iCs w:val="0"/>
                <w:color w:val="000000"/>
                <w:kern w:val="0"/>
                <w:sz w:val="18"/>
                <w:szCs w:val="18"/>
                <w:u w:val="none"/>
                <w:lang w:val="en-US" w:eastAsia="zh-CN" w:bidi="ar"/>
              </w:rPr>
              <w:t>。</w:t>
            </w:r>
          </w:p>
        </w:tc>
      </w:tr>
      <w:tr w14:paraId="5CBEB120">
        <w:tblPrEx>
          <w:tblCellMar>
            <w:top w:w="0" w:type="dxa"/>
            <w:left w:w="108" w:type="dxa"/>
            <w:bottom w:w="0" w:type="dxa"/>
            <w:right w:w="108" w:type="dxa"/>
          </w:tblCellMar>
        </w:tblPrEx>
        <w:trPr>
          <w:trHeight w:val="694" w:hRule="atLeast"/>
        </w:trPr>
        <w:tc>
          <w:tcPr>
            <w:tcW w:w="0" w:type="auto"/>
            <w:vMerge w:val="continue"/>
            <w:tcBorders>
              <w:top w:val="nil"/>
              <w:left w:val="single" w:color="000000" w:sz="4" w:space="0"/>
              <w:bottom w:val="single" w:color="000000" w:sz="4" w:space="0"/>
              <w:right w:val="single" w:color="000000" w:sz="4" w:space="0"/>
            </w:tcBorders>
            <w:vAlign w:val="center"/>
          </w:tcPr>
          <w:p w14:paraId="4C54A5F3">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CAE87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0" w:type="auto"/>
            <w:gridSpan w:val="9"/>
            <w:tcBorders>
              <w:top w:val="single" w:color="000000" w:sz="4" w:space="0"/>
              <w:left w:val="nil"/>
              <w:bottom w:val="single" w:color="000000" w:sz="4" w:space="0"/>
              <w:right w:val="single" w:color="000000" w:sz="4" w:space="0"/>
            </w:tcBorders>
            <w:shd w:val="clear" w:color="auto" w:fill="auto"/>
            <w:vAlign w:val="center"/>
          </w:tcPr>
          <w:p w14:paraId="634F75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ED0DF91">
        <w:tblPrEx>
          <w:tblCellMar>
            <w:top w:w="0" w:type="dxa"/>
            <w:left w:w="108" w:type="dxa"/>
            <w:bottom w:w="0" w:type="dxa"/>
            <w:right w:w="108" w:type="dxa"/>
          </w:tblCellMar>
        </w:tblPrEx>
        <w:trPr>
          <w:trHeight w:val="362"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81490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0" w:type="auto"/>
            <w:tcBorders>
              <w:top w:val="nil"/>
              <w:left w:val="nil"/>
              <w:bottom w:val="single" w:color="000000" w:sz="4" w:space="0"/>
              <w:right w:val="single" w:color="000000" w:sz="4" w:space="0"/>
            </w:tcBorders>
            <w:shd w:val="clear" w:color="auto" w:fill="auto"/>
            <w:vAlign w:val="center"/>
          </w:tcPr>
          <w:p w14:paraId="4A046D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0" w:type="auto"/>
            <w:tcBorders>
              <w:top w:val="nil"/>
              <w:left w:val="nil"/>
              <w:bottom w:val="single" w:color="000000" w:sz="4" w:space="0"/>
              <w:right w:val="single" w:color="000000" w:sz="4" w:space="0"/>
            </w:tcBorders>
            <w:shd w:val="clear" w:color="auto" w:fill="auto"/>
            <w:vAlign w:val="center"/>
          </w:tcPr>
          <w:p w14:paraId="5B3314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0" w:type="auto"/>
            <w:tcBorders>
              <w:top w:val="nil"/>
              <w:left w:val="nil"/>
              <w:bottom w:val="single" w:color="000000" w:sz="4" w:space="0"/>
              <w:right w:val="single" w:color="000000" w:sz="4" w:space="0"/>
            </w:tcBorders>
            <w:shd w:val="clear" w:color="auto" w:fill="auto"/>
            <w:vAlign w:val="center"/>
          </w:tcPr>
          <w:p w14:paraId="46B6A5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71AAB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0" w:type="auto"/>
            <w:tcBorders>
              <w:top w:val="nil"/>
              <w:left w:val="nil"/>
              <w:bottom w:val="single" w:color="000000" w:sz="4" w:space="0"/>
              <w:right w:val="single" w:color="000000" w:sz="4" w:space="0"/>
            </w:tcBorders>
            <w:shd w:val="clear" w:color="auto" w:fill="auto"/>
            <w:vAlign w:val="center"/>
          </w:tcPr>
          <w:p w14:paraId="6CC4F6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0" w:type="auto"/>
            <w:tcBorders>
              <w:top w:val="nil"/>
              <w:left w:val="nil"/>
              <w:bottom w:val="single" w:color="000000" w:sz="4" w:space="0"/>
              <w:right w:val="single" w:color="000000" w:sz="4" w:space="0"/>
            </w:tcBorders>
            <w:shd w:val="clear" w:color="auto" w:fill="auto"/>
            <w:vAlign w:val="center"/>
          </w:tcPr>
          <w:p w14:paraId="6226B9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03D640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5F97FE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6A674B02">
        <w:tblPrEx>
          <w:tblCellMar>
            <w:top w:w="0" w:type="dxa"/>
            <w:left w:w="108" w:type="dxa"/>
            <w:bottom w:w="0" w:type="dxa"/>
            <w:right w:w="108" w:type="dxa"/>
          </w:tblCellMar>
        </w:tblPrEx>
        <w:trPr>
          <w:trHeight w:val="347" w:hRule="atLeast"/>
        </w:trPr>
        <w:tc>
          <w:tcPr>
            <w:tcW w:w="0" w:type="auto"/>
            <w:vMerge w:val="continue"/>
            <w:tcBorders>
              <w:top w:val="nil"/>
              <w:left w:val="single" w:color="000000" w:sz="4" w:space="0"/>
              <w:bottom w:val="single" w:color="000000" w:sz="4" w:space="0"/>
              <w:right w:val="single" w:color="000000" w:sz="4" w:space="0"/>
            </w:tcBorders>
            <w:vAlign w:val="center"/>
          </w:tcPr>
          <w:p w14:paraId="055D4BE6">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78085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0" w:type="auto"/>
            <w:tcBorders>
              <w:top w:val="nil"/>
              <w:left w:val="nil"/>
              <w:bottom w:val="single" w:color="000000" w:sz="4" w:space="0"/>
              <w:right w:val="single" w:color="000000" w:sz="4" w:space="0"/>
            </w:tcBorders>
            <w:shd w:val="clear" w:color="auto" w:fill="auto"/>
            <w:vAlign w:val="center"/>
          </w:tcPr>
          <w:p w14:paraId="1E9E3B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1F77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0.18</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18B48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0.18</w:t>
            </w:r>
          </w:p>
        </w:tc>
        <w:tc>
          <w:tcPr>
            <w:tcW w:w="0" w:type="auto"/>
            <w:tcBorders>
              <w:top w:val="nil"/>
              <w:left w:val="nil"/>
              <w:bottom w:val="single" w:color="000000" w:sz="4" w:space="0"/>
              <w:right w:val="single" w:color="000000" w:sz="4" w:space="0"/>
            </w:tcBorders>
            <w:shd w:val="clear" w:color="auto" w:fill="auto"/>
            <w:vAlign w:val="center"/>
          </w:tcPr>
          <w:p w14:paraId="39D410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5FF9D4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0" w:type="auto"/>
            <w:tcBorders>
              <w:top w:val="nil"/>
              <w:left w:val="nil"/>
              <w:bottom w:val="single" w:color="000000" w:sz="4" w:space="0"/>
              <w:right w:val="single" w:color="000000" w:sz="4" w:space="0"/>
            </w:tcBorders>
            <w:shd w:val="clear" w:color="auto" w:fill="auto"/>
            <w:vAlign w:val="center"/>
          </w:tcPr>
          <w:p w14:paraId="55926B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　</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2E938E8">
            <w:pPr>
              <w:widowControl/>
              <w:jc w:val="left"/>
              <w:rPr>
                <w:rFonts w:hint="eastAsia" w:ascii="黑体" w:hAnsi="黑体" w:eastAsia="黑体" w:cs="宋体"/>
                <w:i/>
                <w:iCs/>
                <w:color w:val="000000"/>
                <w:kern w:val="0"/>
                <w:sz w:val="18"/>
                <w:szCs w:val="18"/>
              </w:rPr>
            </w:pPr>
          </w:p>
        </w:tc>
      </w:tr>
      <w:tr w14:paraId="2586BBF1">
        <w:tblPrEx>
          <w:tblCellMar>
            <w:top w:w="0" w:type="dxa"/>
            <w:left w:w="108" w:type="dxa"/>
            <w:bottom w:w="0" w:type="dxa"/>
            <w:right w:w="108" w:type="dxa"/>
          </w:tblCellMar>
        </w:tblPrEx>
        <w:trPr>
          <w:trHeight w:val="392" w:hRule="atLeast"/>
        </w:trPr>
        <w:tc>
          <w:tcPr>
            <w:tcW w:w="0" w:type="auto"/>
            <w:vMerge w:val="continue"/>
            <w:tcBorders>
              <w:top w:val="nil"/>
              <w:left w:val="single" w:color="000000" w:sz="4" w:space="0"/>
              <w:bottom w:val="single" w:color="000000" w:sz="4" w:space="0"/>
              <w:right w:val="single" w:color="000000" w:sz="4" w:space="0"/>
            </w:tcBorders>
            <w:vAlign w:val="center"/>
          </w:tcPr>
          <w:p w14:paraId="1ED86647">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5CAC43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0" w:type="auto"/>
            <w:tcBorders>
              <w:top w:val="nil"/>
              <w:left w:val="nil"/>
              <w:bottom w:val="single" w:color="000000" w:sz="4" w:space="0"/>
              <w:right w:val="single" w:color="000000" w:sz="4" w:space="0"/>
            </w:tcBorders>
            <w:shd w:val="clear" w:color="auto" w:fill="auto"/>
            <w:vAlign w:val="center"/>
          </w:tcPr>
          <w:p w14:paraId="690CD3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561BF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0.18</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82492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0.18</w:t>
            </w:r>
          </w:p>
        </w:tc>
        <w:tc>
          <w:tcPr>
            <w:tcW w:w="0" w:type="auto"/>
            <w:tcBorders>
              <w:top w:val="nil"/>
              <w:left w:val="nil"/>
              <w:bottom w:val="single" w:color="000000" w:sz="4" w:space="0"/>
              <w:right w:val="single" w:color="000000" w:sz="4" w:space="0"/>
            </w:tcBorders>
            <w:shd w:val="clear" w:color="auto" w:fill="auto"/>
            <w:vAlign w:val="center"/>
          </w:tcPr>
          <w:p w14:paraId="0DA414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0" w:type="auto"/>
            <w:tcBorders>
              <w:top w:val="nil"/>
              <w:left w:val="nil"/>
              <w:bottom w:val="single" w:color="000000" w:sz="4" w:space="0"/>
              <w:right w:val="single" w:color="000000" w:sz="4" w:space="0"/>
            </w:tcBorders>
            <w:shd w:val="clear" w:color="auto" w:fill="auto"/>
            <w:vAlign w:val="center"/>
          </w:tcPr>
          <w:p w14:paraId="5EC18A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1596DD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5A952C2B">
            <w:pPr>
              <w:widowControl/>
              <w:jc w:val="left"/>
              <w:rPr>
                <w:rFonts w:ascii="黑体" w:hAnsi="黑体" w:eastAsia="黑体" w:cs="宋体"/>
                <w:i/>
                <w:iCs/>
                <w:color w:val="000000"/>
                <w:kern w:val="0"/>
                <w:sz w:val="18"/>
                <w:szCs w:val="18"/>
              </w:rPr>
            </w:pPr>
          </w:p>
        </w:tc>
      </w:tr>
      <w:tr w14:paraId="3AF5FED2">
        <w:tblPrEx>
          <w:tblCellMar>
            <w:top w:w="0" w:type="dxa"/>
            <w:left w:w="108" w:type="dxa"/>
            <w:bottom w:w="0" w:type="dxa"/>
            <w:right w:w="108" w:type="dxa"/>
          </w:tblCellMar>
        </w:tblPrEx>
        <w:trPr>
          <w:trHeight w:val="407" w:hRule="atLeast"/>
        </w:trPr>
        <w:tc>
          <w:tcPr>
            <w:tcW w:w="0" w:type="auto"/>
            <w:vMerge w:val="continue"/>
            <w:tcBorders>
              <w:top w:val="nil"/>
              <w:left w:val="single" w:color="000000" w:sz="4" w:space="0"/>
              <w:bottom w:val="single" w:color="000000" w:sz="4" w:space="0"/>
              <w:right w:val="single" w:color="000000" w:sz="4" w:space="0"/>
            </w:tcBorders>
            <w:vAlign w:val="center"/>
          </w:tcPr>
          <w:p w14:paraId="37E7E5FF">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399951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0" w:type="auto"/>
            <w:tcBorders>
              <w:top w:val="nil"/>
              <w:left w:val="nil"/>
              <w:bottom w:val="single" w:color="000000" w:sz="4" w:space="0"/>
              <w:right w:val="single" w:color="000000" w:sz="4" w:space="0"/>
            </w:tcBorders>
            <w:shd w:val="clear" w:color="auto" w:fill="auto"/>
            <w:vAlign w:val="center"/>
          </w:tcPr>
          <w:p w14:paraId="6D7910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70029C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F29E4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5C408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47DD8B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743EEC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12CAC63">
            <w:pPr>
              <w:widowControl/>
              <w:jc w:val="left"/>
              <w:rPr>
                <w:rFonts w:ascii="黑体" w:hAnsi="黑体" w:eastAsia="黑体" w:cs="宋体"/>
                <w:i/>
                <w:iCs/>
                <w:color w:val="000000"/>
                <w:kern w:val="0"/>
                <w:sz w:val="18"/>
                <w:szCs w:val="18"/>
              </w:rPr>
            </w:pPr>
          </w:p>
        </w:tc>
      </w:tr>
      <w:tr w14:paraId="24B5B075">
        <w:tblPrEx>
          <w:tblCellMar>
            <w:top w:w="0" w:type="dxa"/>
            <w:left w:w="108" w:type="dxa"/>
            <w:bottom w:w="0" w:type="dxa"/>
            <w:right w:w="108" w:type="dxa"/>
          </w:tblCellMar>
        </w:tblPrEx>
        <w:trPr>
          <w:trHeight w:val="362" w:hRule="atLeast"/>
        </w:trPr>
        <w:tc>
          <w:tcPr>
            <w:tcW w:w="0" w:type="auto"/>
            <w:vMerge w:val="continue"/>
            <w:tcBorders>
              <w:top w:val="nil"/>
              <w:left w:val="single" w:color="000000" w:sz="4" w:space="0"/>
              <w:bottom w:val="single" w:color="000000" w:sz="4" w:space="0"/>
              <w:right w:val="single" w:color="000000" w:sz="4" w:space="0"/>
            </w:tcBorders>
            <w:vAlign w:val="center"/>
          </w:tcPr>
          <w:p w14:paraId="7F4B3F61">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4D5AA2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0" w:type="auto"/>
            <w:tcBorders>
              <w:top w:val="nil"/>
              <w:left w:val="nil"/>
              <w:bottom w:val="single" w:color="000000" w:sz="4" w:space="0"/>
              <w:right w:val="single" w:color="000000" w:sz="4" w:space="0"/>
            </w:tcBorders>
            <w:shd w:val="clear" w:color="auto" w:fill="auto"/>
            <w:vAlign w:val="center"/>
          </w:tcPr>
          <w:p w14:paraId="30BACE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5BAA6E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836E5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1C42F8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0" w:type="auto"/>
            <w:tcBorders>
              <w:top w:val="nil"/>
              <w:left w:val="nil"/>
              <w:bottom w:val="single" w:color="000000" w:sz="4" w:space="0"/>
              <w:right w:val="single" w:color="000000" w:sz="4" w:space="0"/>
            </w:tcBorders>
            <w:shd w:val="clear" w:color="auto" w:fill="auto"/>
            <w:vAlign w:val="center"/>
          </w:tcPr>
          <w:p w14:paraId="292EDA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3CE42F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24BD70AF">
            <w:pPr>
              <w:widowControl/>
              <w:jc w:val="left"/>
              <w:rPr>
                <w:rFonts w:ascii="黑体" w:hAnsi="黑体" w:eastAsia="黑体" w:cs="宋体"/>
                <w:i/>
                <w:iCs/>
                <w:color w:val="000000"/>
                <w:kern w:val="0"/>
                <w:sz w:val="18"/>
                <w:szCs w:val="18"/>
              </w:rPr>
            </w:pPr>
          </w:p>
        </w:tc>
      </w:tr>
      <w:tr w14:paraId="59E4C218">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5F59649F">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154FF8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0" w:type="auto"/>
            <w:tcBorders>
              <w:top w:val="nil"/>
              <w:left w:val="nil"/>
              <w:bottom w:val="single" w:color="000000" w:sz="4" w:space="0"/>
              <w:right w:val="single" w:color="000000" w:sz="4" w:space="0"/>
            </w:tcBorders>
            <w:shd w:val="clear" w:color="auto" w:fill="auto"/>
            <w:vAlign w:val="center"/>
          </w:tcPr>
          <w:p w14:paraId="6A9FA9FE">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75F5285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E15C88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30E5209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20E0AC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tcBorders>
              <w:top w:val="nil"/>
              <w:left w:val="nil"/>
              <w:bottom w:val="single" w:color="000000" w:sz="4" w:space="0"/>
              <w:right w:val="single" w:color="000000" w:sz="4" w:space="0"/>
            </w:tcBorders>
            <w:shd w:val="clear" w:color="auto" w:fill="auto"/>
            <w:vAlign w:val="center"/>
          </w:tcPr>
          <w:p w14:paraId="03F67D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0" w:type="auto"/>
            <w:vMerge w:val="continue"/>
            <w:tcBorders>
              <w:top w:val="nil"/>
              <w:left w:val="single" w:color="000000" w:sz="4" w:space="0"/>
              <w:bottom w:val="single" w:color="000000" w:sz="4" w:space="0"/>
              <w:right w:val="single" w:color="000000" w:sz="4" w:space="0"/>
            </w:tcBorders>
            <w:vAlign w:val="center"/>
          </w:tcPr>
          <w:p w14:paraId="0F1C57AC">
            <w:pPr>
              <w:widowControl/>
              <w:jc w:val="left"/>
              <w:rPr>
                <w:rFonts w:ascii="黑体" w:hAnsi="黑体" w:eastAsia="黑体" w:cs="宋体"/>
                <w:i/>
                <w:iCs/>
                <w:color w:val="000000"/>
                <w:kern w:val="0"/>
                <w:sz w:val="18"/>
                <w:szCs w:val="18"/>
              </w:rPr>
            </w:pPr>
          </w:p>
        </w:tc>
      </w:tr>
      <w:tr w14:paraId="067F7CCB">
        <w:tblPrEx>
          <w:tblCellMar>
            <w:top w:w="0" w:type="dxa"/>
            <w:left w:w="108" w:type="dxa"/>
            <w:bottom w:w="0" w:type="dxa"/>
            <w:right w:w="108" w:type="dxa"/>
          </w:tblCellMar>
        </w:tblPrEx>
        <w:trPr>
          <w:trHeight w:val="452"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67257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0" w:type="auto"/>
            <w:tcBorders>
              <w:top w:val="nil"/>
              <w:left w:val="nil"/>
              <w:bottom w:val="single" w:color="000000" w:sz="4" w:space="0"/>
              <w:right w:val="single" w:color="000000" w:sz="4" w:space="0"/>
            </w:tcBorders>
            <w:shd w:val="clear" w:color="auto" w:fill="auto"/>
            <w:vAlign w:val="center"/>
          </w:tcPr>
          <w:p w14:paraId="114FE3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0" w:type="auto"/>
            <w:tcBorders>
              <w:top w:val="nil"/>
              <w:left w:val="nil"/>
              <w:bottom w:val="single" w:color="000000" w:sz="4" w:space="0"/>
              <w:right w:val="single" w:color="000000" w:sz="4" w:space="0"/>
            </w:tcBorders>
            <w:shd w:val="clear" w:color="auto" w:fill="auto"/>
            <w:vAlign w:val="center"/>
          </w:tcPr>
          <w:p w14:paraId="40BE50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0" w:type="auto"/>
            <w:tcBorders>
              <w:top w:val="nil"/>
              <w:left w:val="nil"/>
              <w:bottom w:val="single" w:color="000000" w:sz="4" w:space="0"/>
              <w:right w:val="single" w:color="000000" w:sz="4" w:space="0"/>
            </w:tcBorders>
            <w:shd w:val="clear" w:color="auto" w:fill="auto"/>
            <w:vAlign w:val="center"/>
          </w:tcPr>
          <w:p w14:paraId="3C87ED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0" w:type="auto"/>
            <w:tcBorders>
              <w:top w:val="nil"/>
              <w:left w:val="nil"/>
              <w:bottom w:val="single" w:color="000000" w:sz="4" w:space="0"/>
              <w:right w:val="single" w:color="000000" w:sz="4" w:space="0"/>
            </w:tcBorders>
            <w:shd w:val="clear" w:color="auto" w:fill="auto"/>
            <w:vAlign w:val="center"/>
          </w:tcPr>
          <w:p w14:paraId="631026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0" w:type="auto"/>
            <w:tcBorders>
              <w:top w:val="nil"/>
              <w:left w:val="nil"/>
              <w:bottom w:val="single" w:color="000000" w:sz="4" w:space="0"/>
              <w:right w:val="single" w:color="000000" w:sz="4" w:space="0"/>
            </w:tcBorders>
            <w:shd w:val="clear" w:color="auto" w:fill="auto"/>
            <w:vAlign w:val="center"/>
          </w:tcPr>
          <w:p w14:paraId="354A7B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0" w:type="auto"/>
            <w:tcBorders>
              <w:top w:val="nil"/>
              <w:left w:val="nil"/>
              <w:bottom w:val="single" w:color="000000" w:sz="4" w:space="0"/>
              <w:right w:val="single" w:color="000000" w:sz="4" w:space="0"/>
            </w:tcBorders>
            <w:shd w:val="clear" w:color="auto" w:fill="auto"/>
            <w:vAlign w:val="center"/>
          </w:tcPr>
          <w:p w14:paraId="078382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0" w:type="auto"/>
            <w:tcBorders>
              <w:top w:val="nil"/>
              <w:left w:val="nil"/>
              <w:bottom w:val="single" w:color="000000" w:sz="4" w:space="0"/>
              <w:right w:val="single" w:color="000000" w:sz="4" w:space="0"/>
            </w:tcBorders>
            <w:shd w:val="clear" w:color="auto" w:fill="auto"/>
            <w:vAlign w:val="center"/>
          </w:tcPr>
          <w:p w14:paraId="53F54B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0" w:type="auto"/>
            <w:tcBorders>
              <w:top w:val="nil"/>
              <w:left w:val="nil"/>
              <w:bottom w:val="single" w:color="000000" w:sz="4" w:space="0"/>
              <w:right w:val="single" w:color="000000" w:sz="4" w:space="0"/>
            </w:tcBorders>
            <w:shd w:val="clear" w:color="auto" w:fill="auto"/>
            <w:vAlign w:val="center"/>
          </w:tcPr>
          <w:p w14:paraId="5B9326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0" w:type="auto"/>
            <w:tcBorders>
              <w:top w:val="nil"/>
              <w:left w:val="nil"/>
              <w:bottom w:val="single" w:color="000000" w:sz="4" w:space="0"/>
              <w:right w:val="single" w:color="000000" w:sz="4" w:space="0"/>
            </w:tcBorders>
            <w:shd w:val="clear" w:color="auto" w:fill="auto"/>
            <w:vAlign w:val="center"/>
          </w:tcPr>
          <w:p w14:paraId="77FE59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44FE67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E1AF123">
        <w:tblPrEx>
          <w:tblCellMar>
            <w:top w:w="0" w:type="dxa"/>
            <w:left w:w="108" w:type="dxa"/>
            <w:bottom w:w="0" w:type="dxa"/>
            <w:right w:w="108" w:type="dxa"/>
          </w:tblCellMar>
        </w:tblPrEx>
        <w:trPr>
          <w:trHeight w:val="340" w:hRule="atLeast"/>
        </w:trPr>
        <w:tc>
          <w:tcPr>
            <w:tcW w:w="0" w:type="auto"/>
            <w:vMerge w:val="continue"/>
            <w:tcBorders>
              <w:top w:val="nil"/>
              <w:left w:val="single" w:color="000000" w:sz="4" w:space="0"/>
              <w:bottom w:val="single" w:color="000000" w:sz="4" w:space="0"/>
              <w:right w:val="single" w:color="000000" w:sz="4" w:space="0"/>
            </w:tcBorders>
            <w:vAlign w:val="center"/>
          </w:tcPr>
          <w:p w14:paraId="4DC3E58A">
            <w:pPr>
              <w:widowControl/>
              <w:jc w:val="left"/>
              <w:rPr>
                <w:rFonts w:ascii="宋体" w:hAnsi="宋体" w:cs="宋体"/>
                <w:color w:val="000000"/>
                <w:kern w:val="0"/>
                <w:sz w:val="18"/>
                <w:szCs w:val="18"/>
              </w:rPr>
            </w:pPr>
          </w:p>
        </w:tc>
        <w:tc>
          <w:tcPr>
            <w:tcW w:w="0" w:type="auto"/>
            <w:tcBorders>
              <w:top w:val="nil"/>
              <w:left w:val="nil"/>
              <w:bottom w:val="single" w:color="000000" w:sz="4" w:space="0"/>
              <w:right w:val="single" w:color="000000" w:sz="4" w:space="0"/>
            </w:tcBorders>
            <w:shd w:val="clear" w:color="auto" w:fill="auto"/>
            <w:vAlign w:val="center"/>
          </w:tcPr>
          <w:p w14:paraId="07B073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5F8565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7600B6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136DDB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7DB1DC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191FAE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5691292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0" w:type="auto"/>
            <w:tcBorders>
              <w:top w:val="nil"/>
              <w:left w:val="nil"/>
              <w:bottom w:val="single" w:color="000000" w:sz="4" w:space="0"/>
              <w:right w:val="single" w:color="000000" w:sz="4" w:space="0"/>
            </w:tcBorders>
            <w:shd w:val="clear" w:color="auto" w:fill="auto"/>
            <w:vAlign w:val="center"/>
          </w:tcPr>
          <w:p w14:paraId="6CE92E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7D9B8D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000000" w:sz="4" w:space="0"/>
              <w:right w:val="single" w:color="000000" w:sz="4" w:space="0"/>
            </w:tcBorders>
            <w:shd w:val="clear" w:color="auto" w:fill="auto"/>
            <w:vAlign w:val="center"/>
          </w:tcPr>
          <w:p w14:paraId="001A1A8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BDAB9C">
        <w:tblPrEx>
          <w:tblCellMar>
            <w:top w:w="0" w:type="dxa"/>
            <w:left w:w="108" w:type="dxa"/>
            <w:bottom w:w="0" w:type="dxa"/>
            <w:right w:w="108" w:type="dxa"/>
          </w:tblCellMar>
        </w:tblPrEx>
        <w:trPr>
          <w:trHeight w:val="287"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6C6A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0" w:type="auto"/>
            <w:tcBorders>
              <w:top w:val="nil"/>
              <w:left w:val="nil"/>
              <w:bottom w:val="single" w:color="000000" w:sz="4" w:space="0"/>
              <w:right w:val="single" w:color="000000" w:sz="4" w:space="0"/>
            </w:tcBorders>
            <w:shd w:val="clear" w:color="auto" w:fill="auto"/>
            <w:vAlign w:val="center"/>
          </w:tcPr>
          <w:p w14:paraId="406EAA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4DA59BB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0" w:type="auto"/>
            <w:tcBorders>
              <w:top w:val="nil"/>
              <w:left w:val="nil"/>
              <w:bottom w:val="single" w:color="000000" w:sz="4" w:space="0"/>
              <w:right w:val="single" w:color="000000" w:sz="4" w:space="0"/>
            </w:tcBorders>
            <w:shd w:val="clear" w:color="auto" w:fill="auto"/>
            <w:vAlign w:val="center"/>
          </w:tcPr>
          <w:p w14:paraId="612BAB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51DEE363">
        <w:tblPrEx>
          <w:tblCellMar>
            <w:top w:w="0" w:type="dxa"/>
            <w:left w:w="108" w:type="dxa"/>
            <w:bottom w:w="0" w:type="dxa"/>
            <w:right w:w="108" w:type="dxa"/>
          </w:tblCellMar>
        </w:tblPrEx>
        <w:trPr>
          <w:trHeight w:val="60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574C64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58BFE40F">
            <w:pPr>
              <w:widowControl/>
              <w:jc w:val="left"/>
              <w:rPr>
                <w:rFonts w:hint="eastAsia" w:ascii="微软雅黑" w:hAnsi="微软雅黑" w:eastAsia="微软雅黑" w:cs="宋体"/>
                <w:i/>
                <w:iCs/>
                <w:color w:val="000000"/>
                <w:kern w:val="0"/>
                <w:sz w:val="16"/>
                <w:szCs w:val="16"/>
              </w:rPr>
            </w:pPr>
            <w:r>
              <w:rPr>
                <w:rFonts w:hint="eastAsia" w:ascii="宋体" w:hAnsi="宋体" w:eastAsia="宋体" w:cs="宋体"/>
                <w:i w:val="0"/>
                <w:iCs w:val="0"/>
                <w:color w:val="000000"/>
                <w:kern w:val="0"/>
                <w:sz w:val="18"/>
                <w:szCs w:val="18"/>
                <w:u w:val="none"/>
                <w:lang w:val="en-US" w:eastAsia="zh-CN" w:bidi="ar"/>
              </w:rPr>
              <w:t>该项资金</w:t>
            </w:r>
            <w:r>
              <w:rPr>
                <w:rFonts w:hint="eastAsia" w:ascii="宋体" w:hAnsi="宋体" w:cs="宋体"/>
                <w:i w:val="0"/>
                <w:iCs w:val="0"/>
                <w:color w:val="000000"/>
                <w:kern w:val="0"/>
                <w:sz w:val="18"/>
                <w:szCs w:val="18"/>
                <w:u w:val="none"/>
                <w:lang w:val="en-US" w:eastAsia="zh-CN" w:bidi="ar"/>
              </w:rPr>
              <w:t>预算执行率为100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本项目的经费严格按照资金管理使用办法支出的范围使用。统一核算，按照项目计划安排和实际工作情况开支，做到了专款专用。</w:t>
            </w:r>
          </w:p>
        </w:tc>
      </w:tr>
      <w:tr w14:paraId="4F520EFB">
        <w:tblPrEx>
          <w:tblCellMar>
            <w:top w:w="0" w:type="dxa"/>
            <w:left w:w="108" w:type="dxa"/>
            <w:bottom w:w="0" w:type="dxa"/>
            <w:right w:w="108" w:type="dxa"/>
          </w:tblCellMar>
        </w:tblPrEx>
        <w:trPr>
          <w:trHeight w:val="572"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7E77C7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0639BF3D">
            <w:pPr>
              <w:widowControl/>
              <w:jc w:val="left"/>
              <w:rPr>
                <w:rFonts w:hint="eastAsia" w:ascii="微软雅黑" w:hAnsi="微软雅黑" w:eastAsia="微软雅黑" w:cs="宋体"/>
                <w:i/>
                <w:iCs/>
                <w:color w:val="000000"/>
                <w:kern w:val="0"/>
                <w:sz w:val="16"/>
                <w:szCs w:val="16"/>
                <w:lang w:eastAsia="zh-CN"/>
              </w:rPr>
            </w:pPr>
            <w:r>
              <w:rPr>
                <w:rFonts w:hint="eastAsia" w:ascii="微软雅黑" w:hAnsi="微软雅黑" w:eastAsia="微软雅黑" w:cs="宋体"/>
                <w:i/>
                <w:iCs/>
                <w:color w:val="000000"/>
                <w:kern w:val="0"/>
                <w:sz w:val="16"/>
                <w:szCs w:val="16"/>
                <w:lang w:eastAsia="zh-CN"/>
              </w:rPr>
              <w:t>无</w:t>
            </w:r>
          </w:p>
        </w:tc>
      </w:tr>
      <w:tr w14:paraId="3923EB57">
        <w:tblPrEx>
          <w:tblCellMar>
            <w:top w:w="0" w:type="dxa"/>
            <w:left w:w="108" w:type="dxa"/>
            <w:bottom w:w="0" w:type="dxa"/>
            <w:right w:w="108" w:type="dxa"/>
          </w:tblCellMar>
        </w:tblPrEx>
        <w:trPr>
          <w:trHeight w:val="634" w:hRule="atLeast"/>
        </w:trPr>
        <w:tc>
          <w:tcPr>
            <w:tcW w:w="0" w:type="auto"/>
            <w:tcBorders>
              <w:top w:val="nil"/>
              <w:left w:val="single" w:color="000000" w:sz="4" w:space="0"/>
              <w:bottom w:val="single" w:color="000000" w:sz="4" w:space="0"/>
              <w:right w:val="single" w:color="000000" w:sz="4" w:space="0"/>
            </w:tcBorders>
            <w:shd w:val="clear" w:color="auto" w:fill="auto"/>
            <w:vAlign w:val="center"/>
          </w:tcPr>
          <w:p w14:paraId="350498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0" w:type="auto"/>
            <w:gridSpan w:val="10"/>
            <w:tcBorders>
              <w:top w:val="single" w:color="000000" w:sz="4" w:space="0"/>
              <w:left w:val="nil"/>
              <w:bottom w:val="single" w:color="000000" w:sz="4" w:space="0"/>
              <w:right w:val="single" w:color="000000" w:sz="4" w:space="0"/>
            </w:tcBorders>
            <w:shd w:val="clear" w:color="auto" w:fill="auto"/>
            <w:vAlign w:val="center"/>
          </w:tcPr>
          <w:p w14:paraId="41C25C5F">
            <w:pPr>
              <w:widowControl/>
              <w:jc w:val="left"/>
              <w:rPr>
                <w:rFonts w:hint="eastAsia" w:ascii="微软雅黑" w:hAnsi="微软雅黑" w:eastAsia="微软雅黑" w:cs="宋体"/>
                <w:i/>
                <w:iCs/>
                <w:color w:val="000000"/>
                <w:kern w:val="0"/>
                <w:sz w:val="16"/>
                <w:szCs w:val="16"/>
                <w:lang w:eastAsia="zh-CN"/>
              </w:rPr>
            </w:pPr>
            <w:r>
              <w:rPr>
                <w:rFonts w:hint="eastAsia" w:ascii="微软雅黑" w:hAnsi="微软雅黑" w:eastAsia="微软雅黑" w:cs="宋体"/>
                <w:i/>
                <w:iCs/>
                <w:color w:val="000000"/>
                <w:kern w:val="0"/>
                <w:sz w:val="16"/>
                <w:szCs w:val="16"/>
                <w:lang w:eastAsia="zh-CN"/>
              </w:rPr>
              <w:t>无</w:t>
            </w:r>
          </w:p>
        </w:tc>
      </w:tr>
      <w:tr w14:paraId="263AEA07">
        <w:tblPrEx>
          <w:tblCellMar>
            <w:top w:w="0" w:type="dxa"/>
            <w:left w:w="108" w:type="dxa"/>
            <w:bottom w:w="0" w:type="dxa"/>
            <w:right w:w="108" w:type="dxa"/>
          </w:tblCellMar>
        </w:tblPrEx>
        <w:trPr>
          <w:trHeight w:val="28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CD06F">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项目负责人：谢刚</w:t>
            </w: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3E4E38BB">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财务负责人：高兵</w:t>
            </w:r>
          </w:p>
        </w:tc>
      </w:tr>
    </w:tbl>
    <w:p w14:paraId="2BC32869">
      <w:pPr>
        <w:spacing w:line="600" w:lineRule="exact"/>
        <w:jc w:val="center"/>
        <w:outlineLvl w:val="0"/>
        <w:rPr>
          <w:rFonts w:ascii="黑体" w:hAnsi="黑体" w:eastAsia="黑体"/>
          <w:sz w:val="44"/>
          <w:szCs w:val="44"/>
        </w:rPr>
      </w:pPr>
      <w:bookmarkStart w:id="49" w:name="_Toc15396618"/>
    </w:p>
    <w:p w14:paraId="1A4A0E15">
      <w:pPr>
        <w:spacing w:line="600" w:lineRule="exact"/>
        <w:jc w:val="center"/>
        <w:outlineLvl w:val="0"/>
        <w:rPr>
          <w:rFonts w:ascii="黑体" w:hAnsi="黑体" w:eastAsia="黑体"/>
          <w:sz w:val="44"/>
          <w:szCs w:val="44"/>
        </w:rPr>
      </w:pPr>
    </w:p>
    <w:p w14:paraId="7945A01E">
      <w:pPr>
        <w:spacing w:line="600" w:lineRule="exact"/>
        <w:jc w:val="center"/>
        <w:outlineLvl w:val="0"/>
        <w:rPr>
          <w:rFonts w:hint="eastAsia" w:ascii="黑体" w:hAnsi="黑体" w:eastAsia="黑体"/>
          <w:sz w:val="44"/>
          <w:szCs w:val="44"/>
        </w:rPr>
      </w:pPr>
    </w:p>
    <w:p w14:paraId="556AAB29">
      <w:pPr>
        <w:spacing w:line="600" w:lineRule="exact"/>
        <w:jc w:val="center"/>
        <w:outlineLvl w:val="0"/>
        <w:rPr>
          <w:rFonts w:hint="eastAsia" w:ascii="黑体" w:hAnsi="黑体" w:eastAsia="黑体"/>
          <w:sz w:val="44"/>
          <w:szCs w:val="44"/>
        </w:rPr>
      </w:pPr>
    </w:p>
    <w:p w14:paraId="6CE1B18E">
      <w:pPr>
        <w:spacing w:line="600" w:lineRule="exact"/>
        <w:jc w:val="center"/>
        <w:outlineLvl w:val="0"/>
        <w:rPr>
          <w:rFonts w:hint="eastAsia" w:ascii="黑体" w:hAnsi="黑体" w:eastAsia="黑体"/>
          <w:sz w:val="44"/>
          <w:szCs w:val="44"/>
        </w:rPr>
      </w:pPr>
    </w:p>
    <w:p w14:paraId="5F534405">
      <w:pPr>
        <w:spacing w:line="600" w:lineRule="exact"/>
        <w:jc w:val="center"/>
        <w:outlineLvl w:val="0"/>
        <w:rPr>
          <w:rFonts w:hint="eastAsia" w:ascii="黑体" w:hAnsi="黑体" w:eastAsia="黑体"/>
          <w:sz w:val="44"/>
          <w:szCs w:val="44"/>
        </w:rPr>
      </w:pPr>
    </w:p>
    <w:p w14:paraId="42E411E7">
      <w:pPr>
        <w:spacing w:line="600" w:lineRule="exact"/>
        <w:jc w:val="center"/>
        <w:outlineLvl w:val="0"/>
        <w:rPr>
          <w:rFonts w:hint="eastAsia" w:ascii="黑体" w:hAnsi="黑体" w:eastAsia="黑体"/>
          <w:sz w:val="44"/>
          <w:szCs w:val="44"/>
        </w:rPr>
      </w:pPr>
    </w:p>
    <w:p w14:paraId="64CE9E54">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47"/>
      <w:bookmarkEnd w:id="49"/>
      <w:bookmarkStart w:id="50" w:name="_Toc15396619"/>
    </w:p>
    <w:p w14:paraId="03FE1330">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0"/>
    </w:p>
    <w:p w14:paraId="59434A39">
      <w:pPr>
        <w:pStyle w:val="4"/>
        <w:rPr>
          <w:rFonts w:ascii="仿宋" w:hAnsi="仿宋" w:eastAsia="仿宋"/>
        </w:rPr>
      </w:pPr>
      <w:bookmarkStart w:id="51" w:name="_Toc15396620"/>
      <w:r>
        <w:rPr>
          <w:rFonts w:hint="eastAsia" w:ascii="仿宋" w:hAnsi="仿宋" w:eastAsia="仿宋"/>
          <w:b w:val="0"/>
        </w:rPr>
        <w:t>二、收</w:t>
      </w:r>
      <w:r>
        <w:rPr>
          <w:rStyle w:val="29"/>
          <w:rFonts w:hint="eastAsia" w:ascii="仿宋" w:hAnsi="仿宋" w:eastAsia="仿宋"/>
          <w:b w:val="0"/>
          <w:bCs w:val="0"/>
        </w:rPr>
        <w:t>入决算表</w:t>
      </w:r>
      <w:bookmarkEnd w:id="51"/>
    </w:p>
    <w:p w14:paraId="3A1F7BC3">
      <w:pPr>
        <w:pStyle w:val="4"/>
        <w:rPr>
          <w:rFonts w:ascii="仿宋" w:hAnsi="仿宋" w:eastAsia="仿宋"/>
        </w:rPr>
      </w:pPr>
      <w:bookmarkStart w:id="52"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2"/>
    </w:p>
    <w:p w14:paraId="5F36FD35">
      <w:pPr>
        <w:pStyle w:val="4"/>
        <w:rPr>
          <w:rFonts w:ascii="仿宋" w:hAnsi="仿宋" w:eastAsia="仿宋"/>
          <w:b w:val="0"/>
        </w:rPr>
      </w:pPr>
      <w:bookmarkStart w:id="53"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3"/>
    </w:p>
    <w:p w14:paraId="2C108B2B">
      <w:pPr>
        <w:pStyle w:val="4"/>
        <w:rPr>
          <w:rStyle w:val="29"/>
          <w:rFonts w:ascii="仿宋" w:hAnsi="仿宋" w:eastAsia="仿宋"/>
          <w:b w:val="0"/>
          <w:bCs w:val="0"/>
        </w:rPr>
      </w:pPr>
      <w:bookmarkStart w:id="54"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4"/>
      <w:bookmarkStart w:id="55" w:name="_Toc15396624"/>
    </w:p>
    <w:p w14:paraId="5C4B81DB">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5"/>
    </w:p>
    <w:p w14:paraId="33F21F2E">
      <w:pPr>
        <w:pStyle w:val="4"/>
        <w:rPr>
          <w:rFonts w:ascii="仿宋" w:hAnsi="仿宋" w:eastAsia="仿宋"/>
        </w:rPr>
      </w:pPr>
      <w:bookmarkStart w:id="56"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56"/>
    </w:p>
    <w:p w14:paraId="4F84AFC7">
      <w:pPr>
        <w:pStyle w:val="4"/>
        <w:rPr>
          <w:rFonts w:ascii="仿宋" w:hAnsi="仿宋" w:eastAsia="仿宋"/>
        </w:rPr>
      </w:pPr>
      <w:bookmarkStart w:id="57"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57"/>
    </w:p>
    <w:p w14:paraId="0F3AA4D1">
      <w:pPr>
        <w:pStyle w:val="4"/>
        <w:rPr>
          <w:rFonts w:ascii="仿宋" w:hAnsi="仿宋" w:eastAsia="仿宋"/>
        </w:rPr>
      </w:pPr>
      <w:bookmarkStart w:id="58"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58"/>
    </w:p>
    <w:p w14:paraId="377CAE33">
      <w:pPr>
        <w:pStyle w:val="4"/>
        <w:rPr>
          <w:rFonts w:ascii="仿宋" w:hAnsi="仿宋" w:eastAsia="仿宋"/>
        </w:rPr>
      </w:pPr>
      <w:bookmarkStart w:id="59" w:name="_Toc15396628"/>
      <w:r>
        <w:rPr>
          <w:rStyle w:val="29"/>
          <w:rFonts w:hint="eastAsia" w:ascii="仿宋" w:hAnsi="仿宋" w:eastAsia="仿宋"/>
          <w:b w:val="0"/>
          <w:bCs w:val="0"/>
        </w:rPr>
        <w:t>十、</w:t>
      </w:r>
      <w:bookmarkEnd w:id="59"/>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138FED71">
      <w:pPr>
        <w:pStyle w:val="4"/>
        <w:rPr>
          <w:rFonts w:ascii="仿宋" w:hAnsi="仿宋" w:eastAsia="仿宋"/>
        </w:rPr>
      </w:pPr>
      <w:bookmarkStart w:id="60" w:name="_Toc15396629"/>
      <w:r>
        <w:rPr>
          <w:rStyle w:val="29"/>
          <w:rFonts w:hint="eastAsia" w:ascii="仿宋" w:hAnsi="仿宋" w:eastAsia="仿宋"/>
          <w:b w:val="0"/>
          <w:bCs w:val="0"/>
        </w:rPr>
        <w:t>十一、</w:t>
      </w:r>
      <w:bookmarkEnd w:id="60"/>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76D87F97">
      <w:pPr>
        <w:pStyle w:val="4"/>
        <w:rPr>
          <w:rFonts w:ascii="仿宋" w:hAnsi="仿宋" w:eastAsia="仿宋"/>
        </w:rPr>
      </w:pPr>
      <w:bookmarkStart w:id="61" w:name="_Toc15396630"/>
      <w:r>
        <w:rPr>
          <w:rStyle w:val="29"/>
          <w:rFonts w:hint="eastAsia" w:ascii="仿宋" w:hAnsi="仿宋" w:eastAsia="仿宋"/>
          <w:b w:val="0"/>
          <w:bCs w:val="0"/>
        </w:rPr>
        <w:t>十二、</w:t>
      </w:r>
      <w:bookmarkEnd w:id="61"/>
      <w:r>
        <w:rPr>
          <w:rStyle w:val="29"/>
          <w:rFonts w:hint="eastAsia" w:ascii="仿宋" w:hAnsi="仿宋" w:eastAsia="仿宋"/>
          <w:b w:val="0"/>
          <w:bCs w:val="0"/>
        </w:rPr>
        <w:t>国有资本经营预算财政拨款支出决算表</w:t>
      </w:r>
    </w:p>
    <w:p w14:paraId="7A789931">
      <w:pPr>
        <w:bidi w:val="0"/>
        <w:rPr>
          <w:rFonts w:eastAsia="仿宋"/>
        </w:rPr>
      </w:pPr>
      <w:bookmarkStart w:id="62" w:name="_Toc15396631"/>
      <w:r>
        <w:rPr>
          <w:rStyle w:val="29"/>
          <w:rFonts w:hint="eastAsia" w:ascii="仿宋" w:hAnsi="仿宋" w:eastAsia="仿宋"/>
          <w:b w:val="0"/>
          <w:bCs w:val="0"/>
        </w:rPr>
        <w:t>十三、</w:t>
      </w:r>
      <w:bookmarkEnd w:id="62"/>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3C6F280">
        <w:pPr>
          <w:pStyle w:val="9"/>
          <w:jc w:val="center"/>
        </w:pPr>
        <w:r>
          <w:fldChar w:fldCharType="begin"/>
        </w:r>
        <w:r>
          <w:instrText xml:space="preserve">PAGE   \* MERGEFORMAT</w:instrText>
        </w:r>
        <w:r>
          <w:fldChar w:fldCharType="separate"/>
        </w:r>
        <w:r>
          <w:rPr>
            <w:lang w:val="zh-CN"/>
          </w:rPr>
          <w:t>15</w:t>
        </w:r>
        <w:r>
          <w:fldChar w:fldCharType="end"/>
        </w:r>
      </w:p>
    </w:sdtContent>
  </w:sdt>
  <w:p w14:paraId="4557D14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E26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eastAsia"/>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jQ1ZWEzMGEyZjdhMGExYmIxOGVkYWEzMmFm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1170D"/>
    <w:rsid w:val="003216A9"/>
    <w:rsid w:val="00335A74"/>
    <w:rsid w:val="0036561B"/>
    <w:rsid w:val="0037013F"/>
    <w:rsid w:val="00370D07"/>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527F7"/>
    <w:rsid w:val="0046049C"/>
    <w:rsid w:val="00471401"/>
    <w:rsid w:val="00473F31"/>
    <w:rsid w:val="0048263A"/>
    <w:rsid w:val="00487E5D"/>
    <w:rsid w:val="00496ABC"/>
    <w:rsid w:val="004A711F"/>
    <w:rsid w:val="004B199D"/>
    <w:rsid w:val="004B4690"/>
    <w:rsid w:val="004E0A2D"/>
    <w:rsid w:val="004E206B"/>
    <w:rsid w:val="004E6DF7"/>
    <w:rsid w:val="004E7042"/>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C767C"/>
    <w:rsid w:val="007C7A07"/>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87A6D"/>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5A7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6E36"/>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537A"/>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8C3"/>
    <w:rsid w:val="00C03E31"/>
    <w:rsid w:val="00C33E72"/>
    <w:rsid w:val="00C354B2"/>
    <w:rsid w:val="00C35554"/>
    <w:rsid w:val="00C42709"/>
    <w:rsid w:val="00C533CC"/>
    <w:rsid w:val="00C5751C"/>
    <w:rsid w:val="00C61BFC"/>
    <w:rsid w:val="00C62B85"/>
    <w:rsid w:val="00C65438"/>
    <w:rsid w:val="00C87FD8"/>
    <w:rsid w:val="00C9028A"/>
    <w:rsid w:val="00C91381"/>
    <w:rsid w:val="00C91CBB"/>
    <w:rsid w:val="00CB4E70"/>
    <w:rsid w:val="00CC09B6"/>
    <w:rsid w:val="00CC666F"/>
    <w:rsid w:val="00CD1E3F"/>
    <w:rsid w:val="00CE44F6"/>
    <w:rsid w:val="00CE49DA"/>
    <w:rsid w:val="00CE7B61"/>
    <w:rsid w:val="00CF3873"/>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6AD"/>
    <w:rsid w:val="00FD3CC1"/>
    <w:rsid w:val="00FF1E02"/>
    <w:rsid w:val="00FF30B4"/>
    <w:rsid w:val="03DC2831"/>
    <w:rsid w:val="081B5E94"/>
    <w:rsid w:val="08CE169B"/>
    <w:rsid w:val="0A2032A3"/>
    <w:rsid w:val="0B8A37D8"/>
    <w:rsid w:val="0D6F3717"/>
    <w:rsid w:val="0DAA1654"/>
    <w:rsid w:val="0F5FFB2F"/>
    <w:rsid w:val="0FFFCF60"/>
    <w:rsid w:val="10C055FF"/>
    <w:rsid w:val="118107EC"/>
    <w:rsid w:val="11DD6519"/>
    <w:rsid w:val="16BB723D"/>
    <w:rsid w:val="18015F3F"/>
    <w:rsid w:val="1BE8440E"/>
    <w:rsid w:val="1D155CEE"/>
    <w:rsid w:val="1FDBBF84"/>
    <w:rsid w:val="20F57F95"/>
    <w:rsid w:val="220B1B48"/>
    <w:rsid w:val="22C804B5"/>
    <w:rsid w:val="240371BF"/>
    <w:rsid w:val="25711CC6"/>
    <w:rsid w:val="25C741E6"/>
    <w:rsid w:val="276F80C0"/>
    <w:rsid w:val="27842671"/>
    <w:rsid w:val="29C433E2"/>
    <w:rsid w:val="29FD04D3"/>
    <w:rsid w:val="2ABE7A3E"/>
    <w:rsid w:val="2AFF09B6"/>
    <w:rsid w:val="2C5B635D"/>
    <w:rsid w:val="2C982009"/>
    <w:rsid w:val="2CA234A8"/>
    <w:rsid w:val="2EFA178C"/>
    <w:rsid w:val="2EFDF86C"/>
    <w:rsid w:val="2F9D17E1"/>
    <w:rsid w:val="30B46D73"/>
    <w:rsid w:val="319F7F4E"/>
    <w:rsid w:val="356A28F1"/>
    <w:rsid w:val="357C035A"/>
    <w:rsid w:val="368A0A8F"/>
    <w:rsid w:val="368E000D"/>
    <w:rsid w:val="383D272C"/>
    <w:rsid w:val="395D6E5D"/>
    <w:rsid w:val="39AE70AB"/>
    <w:rsid w:val="3A4DCE41"/>
    <w:rsid w:val="3B3A0B19"/>
    <w:rsid w:val="3BCB56FA"/>
    <w:rsid w:val="3C0C0783"/>
    <w:rsid w:val="3EE7C2F4"/>
    <w:rsid w:val="3F371B56"/>
    <w:rsid w:val="3F792ED8"/>
    <w:rsid w:val="3F9F3A96"/>
    <w:rsid w:val="3FECA4B2"/>
    <w:rsid w:val="3FF58C48"/>
    <w:rsid w:val="42FF6694"/>
    <w:rsid w:val="45795008"/>
    <w:rsid w:val="48BF60AB"/>
    <w:rsid w:val="493C27E9"/>
    <w:rsid w:val="496F39ED"/>
    <w:rsid w:val="49FF41D3"/>
    <w:rsid w:val="4BE068DB"/>
    <w:rsid w:val="4BF6002B"/>
    <w:rsid w:val="4BFFC6BE"/>
    <w:rsid w:val="4DBA55C3"/>
    <w:rsid w:val="4ECE2238"/>
    <w:rsid w:val="510468F1"/>
    <w:rsid w:val="51DB4B86"/>
    <w:rsid w:val="51F64DB0"/>
    <w:rsid w:val="54D66EF0"/>
    <w:rsid w:val="55333C3E"/>
    <w:rsid w:val="555061B7"/>
    <w:rsid w:val="56693A45"/>
    <w:rsid w:val="570218CC"/>
    <w:rsid w:val="5F67802D"/>
    <w:rsid w:val="5F7DC4F2"/>
    <w:rsid w:val="5FB36814"/>
    <w:rsid w:val="5FBB8E56"/>
    <w:rsid w:val="5FFB5535"/>
    <w:rsid w:val="60D33DE9"/>
    <w:rsid w:val="64CA39A1"/>
    <w:rsid w:val="653F2FBA"/>
    <w:rsid w:val="688A00DC"/>
    <w:rsid w:val="69630ADE"/>
    <w:rsid w:val="69BD5F13"/>
    <w:rsid w:val="69FB0B4B"/>
    <w:rsid w:val="6BFFE1FB"/>
    <w:rsid w:val="6C4A05C8"/>
    <w:rsid w:val="6D3B1A89"/>
    <w:rsid w:val="6DB7D8A3"/>
    <w:rsid w:val="6EC78701"/>
    <w:rsid w:val="6F7A5481"/>
    <w:rsid w:val="6FFE07A9"/>
    <w:rsid w:val="703F5590"/>
    <w:rsid w:val="71BF4EC2"/>
    <w:rsid w:val="72734D90"/>
    <w:rsid w:val="73987BB2"/>
    <w:rsid w:val="73E75B71"/>
    <w:rsid w:val="7412278C"/>
    <w:rsid w:val="75DDCDA9"/>
    <w:rsid w:val="75FF44B1"/>
    <w:rsid w:val="76F86139"/>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1E29E0"/>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5"/>
    <w:autoRedefine/>
    <w:qFormat/>
    <w:uiPriority w:val="99"/>
    <w:pPr>
      <w:spacing w:before="93" w:beforeLines="30"/>
      <w:jc w:val="center"/>
    </w:pPr>
    <w:rPr>
      <w:rFonts w:asciiTheme="majorEastAsia" w:hAnsiTheme="majorEastAsia" w:eastAsiaTheme="majorEastAsia"/>
      <w:b/>
      <w:bCs/>
      <w:kern w:val="0"/>
      <w:sz w:val="48"/>
      <w:szCs w:val="44"/>
    </w:rPr>
  </w:style>
  <w:style w:type="paragraph" w:styleId="6">
    <w:name w:val="Body Text Indent"/>
    <w:basedOn w:val="1"/>
    <w:autoRedefine/>
    <w:qFormat/>
    <w:uiPriority w:val="0"/>
    <w:pPr>
      <w:spacing w:after="120"/>
      <w:ind w:left="200" w:leftChars="200"/>
    </w:pPr>
    <w:rPr>
      <w:rFonts w:ascii="仿宋_GB2312"/>
      <w:szCs w:val="32"/>
    </w:rPr>
  </w:style>
  <w:style w:type="paragraph" w:styleId="7">
    <w:name w:val="toc 3"/>
    <w:basedOn w:val="1"/>
    <w:next w:val="1"/>
    <w:autoRedefine/>
    <w:unhideWhenUsed/>
    <w:qFormat/>
    <w:uiPriority w:val="39"/>
    <w:pPr>
      <w:tabs>
        <w:tab w:val="right" w:leader="dot" w:pos="8296"/>
      </w:tabs>
      <w:ind w:left="840" w:leftChars="400"/>
    </w:pPr>
  </w:style>
  <w:style w:type="paragraph" w:styleId="8">
    <w:name w:val="Balloon Text"/>
    <w:basedOn w:val="1"/>
    <w:link w:val="31"/>
    <w:autoRedefine/>
    <w:semiHidden/>
    <w:unhideWhenUsed/>
    <w:qFormat/>
    <w:uiPriority w:val="99"/>
    <w:rPr>
      <w:sz w:val="18"/>
      <w:szCs w:val="18"/>
    </w:rPr>
  </w:style>
  <w:style w:type="paragraph" w:styleId="9">
    <w:name w:val="footer"/>
    <w:basedOn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autoRedefine/>
    <w:unhideWhenUsed/>
    <w:qFormat/>
    <w:uiPriority w:val="39"/>
    <w:pPr>
      <w:tabs>
        <w:tab w:val="right" w:leader="dot" w:pos="8296"/>
      </w:tabs>
      <w:ind w:left="420" w:leftChars="200"/>
    </w:pPr>
  </w:style>
  <w:style w:type="paragraph" w:styleId="13">
    <w:name w:val="Body Text First Indent 2"/>
    <w:basedOn w:val="6"/>
    <w:autoRedefine/>
    <w:unhideWhenUsed/>
    <w:qFormat/>
    <w:uiPriority w:val="99"/>
    <w:pPr>
      <w:ind w:firstLine="420" w:firstLineChars="200"/>
    </w:pPr>
  </w:style>
  <w:style w:type="character" w:styleId="16">
    <w:name w:val="Strong"/>
    <w:basedOn w:val="15"/>
    <w:autoRedefine/>
    <w:qFormat/>
    <w:uiPriority w:val="99"/>
    <w:rPr>
      <w:b/>
    </w:rPr>
  </w:style>
  <w:style w:type="character" w:styleId="17">
    <w:name w:val="FollowedHyperlink"/>
    <w:basedOn w:val="15"/>
    <w:autoRedefine/>
    <w:semiHidden/>
    <w:unhideWhenUsed/>
    <w:qFormat/>
    <w:uiPriority w:val="99"/>
    <w:rPr>
      <w:color w:val="954F72"/>
      <w:u w:val="single"/>
    </w:rPr>
  </w:style>
  <w:style w:type="character" w:styleId="18">
    <w:name w:val="Hyperlink"/>
    <w:basedOn w:val="15"/>
    <w:autoRedefine/>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autoRedefine/>
    <w:semiHidden/>
    <w:qFormat/>
    <w:uiPriority w:val="99"/>
    <w:rPr>
      <w:rFonts w:ascii="Times New Roman" w:hAnsi="Times New Roman"/>
      <w:sz w:val="18"/>
      <w:szCs w:val="18"/>
    </w:rPr>
  </w:style>
  <w:style w:type="character" w:customStyle="1" w:styleId="21">
    <w:name w:val="页眉 字符"/>
    <w:link w:val="10"/>
    <w:autoRedefine/>
    <w:semiHidden/>
    <w:qFormat/>
    <w:locked/>
    <w:uiPriority w:val="99"/>
    <w:rPr>
      <w:sz w:val="18"/>
    </w:rPr>
  </w:style>
  <w:style w:type="character" w:customStyle="1" w:styleId="22">
    <w:name w:val="Footer Char"/>
    <w:basedOn w:val="15"/>
    <w:autoRedefine/>
    <w:semiHidden/>
    <w:qFormat/>
    <w:uiPriority w:val="99"/>
    <w:rPr>
      <w:rFonts w:ascii="Times New Roman" w:hAnsi="Times New Roman"/>
      <w:sz w:val="18"/>
      <w:szCs w:val="18"/>
    </w:rPr>
  </w:style>
  <w:style w:type="character" w:customStyle="1" w:styleId="23">
    <w:name w:val="页脚 字符"/>
    <w:link w:val="9"/>
    <w:autoRedefine/>
    <w:qFormat/>
    <w:locked/>
    <w:uiPriority w:val="99"/>
    <w:rPr>
      <w:sz w:val="18"/>
    </w:rPr>
  </w:style>
  <w:style w:type="character" w:customStyle="1" w:styleId="24">
    <w:name w:val="Body Text Char"/>
    <w:basedOn w:val="15"/>
    <w:autoRedefine/>
    <w:semiHidden/>
    <w:qFormat/>
    <w:uiPriority w:val="99"/>
    <w:rPr>
      <w:rFonts w:ascii="Times New Roman" w:hAnsi="Times New Roman"/>
      <w:szCs w:val="24"/>
    </w:rPr>
  </w:style>
  <w:style w:type="character" w:customStyle="1" w:styleId="25">
    <w:name w:val="正文文本 字符"/>
    <w:link w:val="2"/>
    <w:autoRedefine/>
    <w:qFormat/>
    <w:locked/>
    <w:uiPriority w:val="99"/>
    <w:rPr>
      <w:rFonts w:cs="Times New Roman" w:asciiTheme="majorEastAsia" w:hAnsiTheme="majorEastAsia" w:eastAsiaTheme="majorEastAsia"/>
      <w:b/>
      <w:bCs/>
      <w:sz w:val="48"/>
      <w:szCs w:val="4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字符"/>
    <w:basedOn w:val="15"/>
    <w:link w:val="3"/>
    <w:autoRedefine/>
    <w:qFormat/>
    <w:uiPriority w:val="9"/>
    <w:rPr>
      <w:rFonts w:ascii="Times New Roman" w:hAnsi="Times New Roman"/>
      <w:b/>
      <w:bCs/>
      <w:kern w:val="44"/>
      <w:sz w:val="44"/>
      <w:szCs w:val="44"/>
    </w:rPr>
  </w:style>
  <w:style w:type="character" w:customStyle="1" w:styleId="29">
    <w:name w:val="标题 2 字符"/>
    <w:basedOn w:val="15"/>
    <w:link w:val="4"/>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5"/>
    <w:link w:val="8"/>
    <w:autoRedefine/>
    <w:semiHidden/>
    <w:qFormat/>
    <w:uiPriority w:val="99"/>
    <w:rPr>
      <w:rFonts w:ascii="Times New Roman" w:hAnsi="Times New Roman"/>
      <w:kern w:val="2"/>
      <w:sz w:val="18"/>
      <w:szCs w:val="18"/>
    </w:rPr>
  </w:style>
  <w:style w:type="character" w:customStyle="1" w:styleId="32">
    <w:name w:val="标题 3 字符"/>
    <w:basedOn w:val="15"/>
    <w:link w:val="5"/>
    <w:autoRedefine/>
    <w:qFormat/>
    <w:uiPriority w:val="9"/>
    <w:rPr>
      <w:rFonts w:ascii="Times New Roman" w:hAnsi="Times New Roman"/>
      <w:b/>
      <w:bCs/>
      <w:kern w:val="2"/>
      <w:sz w:val="32"/>
      <w:szCs w:val="32"/>
    </w:rPr>
  </w:style>
  <w:style w:type="paragraph" w:customStyle="1" w:styleId="33">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正文1"/>
    <w:autoRedefine/>
    <w:qFormat/>
    <w:uiPriority w:val="0"/>
    <w:pPr>
      <w:widowControl w:val="0"/>
      <w:jc w:val="both"/>
    </w:pPr>
    <w:rPr>
      <w:rFonts w:ascii="Times New Roman" w:hAnsi="Times New Roman" w:eastAsia="宋体" w:cs="Times New Roman"/>
      <w:sz w:val="32"/>
      <w:lang w:val="en-US" w:eastAsia="zh-CN" w:bidi="ar-SA"/>
    </w:rPr>
  </w:style>
  <w:style w:type="paragraph" w:customStyle="1" w:styleId="3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
    <w:name w:val="xl6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7">
    <w:name w:val="xl64"/>
    <w:basedOn w:val="1"/>
    <w:autoRedefine/>
    <w:qFormat/>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38">
    <w:name w:val="xl6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0">
    <w:name w:val="xl6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2">
    <w:name w:val="xl6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7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4">
    <w:name w:val="xl7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45">
    <w:name w:val="xl7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color w:val="000000"/>
      <w:kern w:val="0"/>
      <w:sz w:val="18"/>
      <w:szCs w:val="18"/>
    </w:rPr>
  </w:style>
  <w:style w:type="paragraph" w:customStyle="1" w:styleId="46">
    <w:name w:val="xl7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i/>
      <w:iCs/>
      <w:color w:val="000000"/>
      <w:kern w:val="0"/>
      <w:sz w:val="18"/>
      <w:szCs w:val="18"/>
    </w:rPr>
  </w:style>
  <w:style w:type="paragraph" w:customStyle="1" w:styleId="47">
    <w:name w:val="xl7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4.8&#65306;2023&#24180;&#20915;&#31639;&#20844;&#24320;&#36164;&#26009;\&#20915;&#31639;&#25253;&#34920;&#29992;&#32479;&#35745;&#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4.8&#65306;2023&#24180;&#20915;&#31639;&#20844;&#24320;&#36164;&#26009;\&#20915;&#31639;&#25253;&#34920;&#29992;&#32479;&#35745;&#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4.8&#65306;2023&#24180;&#20915;&#31639;&#20844;&#24320;&#36164;&#26009;\&#20915;&#31639;&#25253;&#34920;&#29992;&#32479;&#35745;&#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4.8&#65306;2023&#24180;&#20915;&#31639;&#20844;&#24320;&#36164;&#26009;\&#20915;&#31639;&#25253;&#34920;&#29992;&#32479;&#35745;&#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4.8&#65306;2023&#24180;&#20915;&#31639;&#20844;&#24320;&#36164;&#26009;\&#20915;&#31639;&#25253;&#34920;&#29992;&#32479;&#35745;&#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3&#24180;9&#26376;2022&#24180;&#20915;&#31639;&#20844;&#24320;&#36164;&#26009;\&#20915;&#31639;&#25253;&#34920;&#29992;&#32479;&#35745;&#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3&#24180;9&#26376;2022&#24180;&#20915;&#31639;&#20844;&#24320;&#36164;&#26009;\&#20915;&#31639;&#25253;&#34920;&#29992;&#32479;&#35745;&#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：收、支决算总计变动情况图</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lumMod val="75000"/>
              </a:schemeClr>
            </a:solidFill>
            <a:ln>
              <a:noFill/>
            </a:ln>
            <a:effectLst/>
          </c:spPr>
          <c:invertIfNegative val="0"/>
          <c:dPt>
            <c:idx val="0"/>
            <c:invertIfNegative val="0"/>
            <c:bubble3D val="0"/>
            <c:spPr>
              <a:solidFill>
                <a:srgbClr val="FF0000"/>
              </a:solidFill>
              <a:ln>
                <a:noFill/>
              </a:ln>
              <a:effectLst/>
            </c:spPr>
          </c:dPt>
          <c:dPt>
            <c:idx val="1"/>
            <c:invertIfNegative val="0"/>
            <c:bubble3D val="0"/>
            <c:spPr>
              <a:solidFill>
                <a:srgbClr val="0070C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[决算报表用统计图.xls]Sheet1!$A$1:$A$2</c:f>
              <c:strCache>
                <c:ptCount val="2"/>
                <c:pt idx="0">
                  <c:v>2022年度收、支总计</c:v>
                </c:pt>
                <c:pt idx="1">
                  <c:v>2023年度收、支总计</c:v>
                </c:pt>
              </c:strCache>
            </c:strRef>
          </c:cat>
          <c:val>
            <c:numRef>
              <c:f>[决算报表用统计图.xls]Sheet1!$B$1:$B$2</c:f>
              <c:numCache>
                <c:formatCode>General</c:formatCode>
                <c:ptCount val="2"/>
                <c:pt idx="0">
                  <c:v>270.93</c:v>
                </c:pt>
                <c:pt idx="1">
                  <c:v>276.97</c:v>
                </c:pt>
              </c:numCache>
            </c:numRef>
          </c:val>
        </c:ser>
        <c:dLbls>
          <c:showLegendKey val="0"/>
          <c:showVal val="0"/>
          <c:showCatName val="0"/>
          <c:showSerName val="0"/>
          <c:showPercent val="0"/>
          <c:showBubbleSize val="0"/>
        </c:dLbls>
        <c:gapWidth val="219"/>
        <c:overlap val="-27"/>
        <c:axId val="291728068"/>
        <c:axId val="407995375"/>
      </c:barChart>
      <c:catAx>
        <c:axId val="2917280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995375"/>
        <c:crosses val="autoZero"/>
        <c:auto val="1"/>
        <c:lblAlgn val="ctr"/>
        <c:lblOffset val="100"/>
        <c:noMultiLvlLbl val="0"/>
      </c:catAx>
      <c:valAx>
        <c:axId val="407995375"/>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0180555555555556"/>
              <c:y val="0.540787037037037"/>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17280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rgbClr val="FF0000"/>
              </a:solidFill>
              <a:ln w="19050">
                <a:noFill/>
              </a:ln>
              <a:effectLst/>
            </c:spPr>
          </c:dPt>
          <c:dLbls>
            <c:dLbl>
              <c:idx val="0"/>
              <c:layout>
                <c:manualLayout>
                  <c:x val="0.00839423482988427"/>
                  <c:y val="-0.1661222692109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一般公共预算财政拨款收入</a:t>
                    </a:r>
                    <a:r>
                      <a:rPr lang="en-US" altLang="zh-CN"/>
                      <a:t>100%</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[决算报表用统计图.xls]Sheet2!$A$1:$A$2</c:f>
              <c:strCache>
                <c:ptCount val="2"/>
                <c:pt idx="0">
                  <c:v>一般公共预算财政拨款收入276.97万元</c:v>
                </c:pt>
                <c:pt idx="1">
                  <c:v>其他收入0万元</c:v>
                </c:pt>
              </c:strCache>
            </c:strRef>
          </c:cat>
          <c:val>
            <c:numRef>
              <c:f>[决算报表用统计图.xls]Sheet2!$B$1:$B$2</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
        <c:delete val="1"/>
      </c:legendEntry>
      <c:layout>
        <c:manualLayout>
          <c:xMode val="edge"/>
          <c:yMode val="edge"/>
          <c:x val="0.65"/>
          <c:y val="0.425"/>
          <c:w val="0.3305"/>
          <c:h val="0.236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3</a:t>
            </a:r>
            <a:r>
              <a:rPr lang="zh-CN" altLang="en-US"/>
              <a:t>：支出决算结构图</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Lbls>
            <c:dLbl>
              <c:idx val="0"/>
              <c:layout>
                <c:manualLayout>
                  <c:x val="-0.00769264554081657"/>
                  <c:y val="-0.19803549590274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基本支出</a:t>
                    </a:r>
                    <a:r>
                      <a:rPr lang="en-US" altLang="zh-CN"/>
                      <a:t>99.5%</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项目支出</a:t>
                    </a:r>
                    <a:r>
                      <a:rPr lang="en-US" altLang="zh-CN"/>
                      <a:t>0.5%</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[决算报表用统计图.xls]Sheet3!$A$1:$A$2</c:f>
              <c:strCache>
                <c:ptCount val="2"/>
                <c:pt idx="0">
                  <c:v>基本支出275.63万元</c:v>
                </c:pt>
                <c:pt idx="1">
                  <c:v>项目支出1.33万元</c:v>
                </c:pt>
              </c:strCache>
            </c:strRef>
          </c:cat>
          <c:val>
            <c:numRef>
              <c:f>[决算报表用统计图.xls]Sheet3!$B$1:$B$2</c:f>
              <c:numCache>
                <c:formatCode>0.00%</c:formatCode>
                <c:ptCount val="2"/>
                <c:pt idx="0">
                  <c:v>0.995161930895043</c:v>
                </c:pt>
                <c:pt idx="1">
                  <c:v>0.00480196411163664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25625"/>
          <c:y val="0.8945"/>
          <c:w val="0.486"/>
          <c:h val="0.0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4</a:t>
            </a:r>
            <a:r>
              <a:rPr lang="zh-CN" altLang="en-US"/>
              <a:t>：财政拨款收、支决算总计变动情况</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[决算报表用统计图.xls]Sheet4!$A$1:$A$2</c:f>
              <c:strCache>
                <c:ptCount val="2"/>
                <c:pt idx="0">
                  <c:v>2022年财政拨款收、支总计</c:v>
                </c:pt>
                <c:pt idx="1">
                  <c:v>2023年财政拨款收、支总计</c:v>
                </c:pt>
              </c:strCache>
            </c:strRef>
          </c:cat>
          <c:val>
            <c:numRef>
              <c:f>[决算报表用统计图.xls]Sheet4!$B$1:$B$2</c:f>
              <c:numCache>
                <c:formatCode>General</c:formatCode>
                <c:ptCount val="2"/>
                <c:pt idx="0">
                  <c:v>270.93</c:v>
                </c:pt>
                <c:pt idx="1">
                  <c:v>276.97</c:v>
                </c:pt>
              </c:numCache>
            </c:numRef>
          </c:val>
        </c:ser>
        <c:dLbls>
          <c:showLegendKey val="0"/>
          <c:showVal val="0"/>
          <c:showCatName val="0"/>
          <c:showSerName val="0"/>
          <c:showPercent val="0"/>
          <c:showBubbleSize val="0"/>
        </c:dLbls>
        <c:gapWidth val="219"/>
        <c:overlap val="-27"/>
        <c:axId val="55545246"/>
        <c:axId val="159903036"/>
      </c:barChart>
      <c:catAx>
        <c:axId val="5554524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903036"/>
        <c:crosses val="autoZero"/>
        <c:auto val="1"/>
        <c:lblAlgn val="ctr"/>
        <c:lblOffset val="100"/>
        <c:noMultiLvlLbl val="0"/>
      </c:catAx>
      <c:valAx>
        <c:axId val="159903036"/>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452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5</a:t>
            </a:r>
            <a:r>
              <a:rPr lang="zh-CN" altLang="en-US"/>
              <a:t>：一般公共预算财政拨款支出决算变动情况</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10833333333333"/>
          <c:y val="0.017361111111111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[决算报表用统计图.xls]Sheet5!$A$1:$A$2</c:f>
              <c:strCache>
                <c:ptCount val="2"/>
                <c:pt idx="0">
                  <c:v>2022年一般公共预算财政拨款支出</c:v>
                </c:pt>
                <c:pt idx="1">
                  <c:v>2023年一般公共预算财政拨款支出</c:v>
                </c:pt>
              </c:strCache>
            </c:strRef>
          </c:cat>
          <c:val>
            <c:numRef>
              <c:f>[决算报表用统计图.xls]Sheet5!$B$1:$B$2</c:f>
              <c:numCache>
                <c:formatCode>General</c:formatCode>
                <c:ptCount val="2"/>
                <c:pt idx="0">
                  <c:v>270.93</c:v>
                </c:pt>
                <c:pt idx="1">
                  <c:v>276.97</c:v>
                </c:pt>
              </c:numCache>
            </c:numRef>
          </c:val>
        </c:ser>
        <c:dLbls>
          <c:showLegendKey val="0"/>
          <c:showVal val="0"/>
          <c:showCatName val="0"/>
          <c:showSerName val="0"/>
          <c:showPercent val="0"/>
          <c:showBubbleSize val="0"/>
        </c:dLbls>
        <c:gapWidth val="219"/>
        <c:overlap val="-27"/>
        <c:axId val="631842279"/>
        <c:axId val="384695647"/>
      </c:barChart>
      <c:catAx>
        <c:axId val="63184227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695647"/>
        <c:crosses val="autoZero"/>
        <c:auto val="1"/>
        <c:lblAlgn val="ctr"/>
        <c:lblOffset val="100"/>
        <c:noMultiLvlLbl val="0"/>
      </c:catAx>
      <c:valAx>
        <c:axId val="384695647"/>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sz="10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842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6</a:t>
            </a:r>
            <a:r>
              <a:rPr lang="zh-CN" altLang="en-US"/>
              <a:t>：一般公共预算财政拨款支出决算结构</a:t>
            </a:r>
            <a:endParaRPr lang="zh-CN" altLang="en-US"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21839399833287"/>
          <c:y val="0.0147608738437315"/>
        </c:manualLayout>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rgbClr val="FFFF00"/>
              </a:solidFill>
              <a:ln w="19050">
                <a:solidFill>
                  <a:schemeClr val="accent1"/>
                </a:solidFill>
              </a:ln>
              <a:effectLst/>
            </c:spPr>
          </c:dPt>
          <c:dPt>
            <c:idx val="3"/>
            <c:bubble3D val="0"/>
            <c:spPr>
              <a:solidFill>
                <a:srgbClr val="FF0000"/>
              </a:solidFill>
              <a:ln w="19050">
                <a:solidFill>
                  <a:schemeClr val="accent1"/>
                </a:solidFill>
              </a:ln>
              <a:effectLst/>
            </c:spPr>
          </c:dPt>
          <c:dPt>
            <c:idx val="4"/>
            <c:bubble3D val="0"/>
            <c:spPr>
              <a:ln w="19050">
                <a:noFill/>
              </a:ln>
            </c:spPr>
          </c:dPt>
          <c:dLbls>
            <c:dLbl>
              <c:idx val="0"/>
              <c:layout>
                <c:manualLayout>
                  <c:x val="-0.134277121848052"/>
                  <c:y val="-0.17538258051744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教育支出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75.5</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6860186904973"/>
                  <c:y val="0.1029731244360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卫生健康支出</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5</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54953084384946"/>
                  <c:y val="0.053900512740129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社会保障和就业支出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14.4</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24214710546803"/>
                  <c:y val="0.030770493023822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sz="900" b="0" i="0" u="none" strike="noStrike" baseline="0">
                        <a:solidFill>
                          <a:srgbClr val="333333"/>
                        </a:solidFill>
                        <a:latin typeface="宋体" panose="02010600030101010101" charset="-122"/>
                        <a:ea typeface="宋体" panose="02010600030101010101" charset="-122"/>
                        <a:cs typeface="宋体" panose="02010600030101010101" charset="-122"/>
                      </a:rPr>
                      <a:t>住房保障支出</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6.1</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201306889249012"/>
                  <c:y val="0.03106062952713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zh-CN" altLang="en-US"/>
                      <a:t>农林水支出</a:t>
                    </a:r>
                    <a:r>
                      <a:rPr lang="en-US" altLang="zh-CN"/>
                      <a:t>0.5%</a:t>
                    </a:r>
                    <a:endParaRPr lang="zh-CN" altLang="en-US" sz="900" b="0"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[决算报表用统计图.xls]Sheet6!$A$1:$A$5</c:f>
              <c:strCache>
                <c:ptCount val="5"/>
                <c:pt idx="0">
                  <c:v>教育支出（类）208.96万元</c:v>
                </c:pt>
                <c:pt idx="1">
                  <c:v>卫生健康支出9.71万元</c:v>
                </c:pt>
                <c:pt idx="2">
                  <c:v>社会保障和就业（类）支出40万元</c:v>
                </c:pt>
                <c:pt idx="3">
                  <c:v>住房保障支出16.97万元</c:v>
                </c:pt>
                <c:pt idx="4">
                  <c:v>农林水支出1.33万元</c:v>
                </c:pt>
              </c:strCache>
            </c:strRef>
          </c:cat>
          <c:val>
            <c:numRef>
              <c:f>[决算报表用统计图.xls]Sheet6!$B$1:$B$5</c:f>
              <c:numCache>
                <c:formatCode>0.00%</c:formatCode>
                <c:ptCount val="5"/>
                <c:pt idx="0">
                  <c:v>0.754449940426761</c:v>
                </c:pt>
                <c:pt idx="1">
                  <c:v>0.0350579485142795</c:v>
                </c:pt>
                <c:pt idx="2">
                  <c:v>0.144419973282305</c:v>
                </c:pt>
                <c:pt idx="3">
                  <c:v>0.0612701736650179</c:v>
                </c:pt>
                <c:pt idx="4">
                  <c:v>0.00480196411163664</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[决算报表用统计图.xls]Sheet6!$A$1:$A$5</c:f>
              <c:strCache>
                <c:ptCount val="5"/>
                <c:pt idx="0">
                  <c:v>教育支出（类）208.96万元</c:v>
                </c:pt>
                <c:pt idx="1">
                  <c:v>卫生健康支出9.71万元</c:v>
                </c:pt>
                <c:pt idx="2">
                  <c:v>社会保障和就业（类）支出40万元</c:v>
                </c:pt>
                <c:pt idx="3">
                  <c:v>住房保障支出16.97万元</c:v>
                </c:pt>
                <c:pt idx="4">
                  <c:v>农林水支出1.33万元</c:v>
                </c:pt>
              </c:strCache>
            </c:strRef>
          </c:cat>
          <c:val>
            <c:numRef>
              <c:f>[决算报表用统计图.xls]Sheet6!$C$1:$C$5</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7</a:t>
            </a:r>
            <a:r>
              <a:rPr lang="zh-CN" altLang="en-US" sz="1400" b="0" i="0" u="none" strike="noStrike" baseline="0">
                <a:solidFill>
                  <a:srgbClr val="333333"/>
                </a:solidFill>
                <a:latin typeface="宋体" panose="02010600030101010101" charset="-122"/>
                <a:ea typeface="宋体" panose="02010600030101010101" charset="-122"/>
                <a:cs typeface="宋体" panose="02010600030101010101" charset="-122"/>
              </a:rPr>
              <a:t>：“三公”经费财政拨款支出结构</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rgbClr val="FFFF00"/>
              </a:solidFill>
              <a:ln w="19050">
                <a:solidFill>
                  <a:schemeClr val="accent1"/>
                </a:solidFill>
              </a:ln>
              <a:effectLst/>
            </c:spPr>
          </c:dPt>
          <c:dPt>
            <c:idx val="3"/>
            <c:bubble3D val="0"/>
            <c:spPr>
              <a:solidFill>
                <a:srgbClr val="FF0000"/>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[决算报表用统计图.xls]Sheet7!$A$1:$A$4</c:f>
              <c:strCache>
                <c:ptCount val="4"/>
                <c:pt idx="0">
                  <c:v>因公出国（境）经费支出0万元</c:v>
                </c:pt>
                <c:pt idx="1">
                  <c:v>公务用车购置及运行维护费支出0万元</c:v>
                </c:pt>
                <c:pt idx="2">
                  <c:v>公务接待费支出决算0万元</c:v>
                </c:pt>
              </c:strCache>
            </c:strRef>
          </c:cat>
          <c:val>
            <c:numRef>
              <c:f>[决算报表用统计图.xls]Sheet7!$B$1:$B$4</c:f>
              <c:numCache>
                <c:formatCode>0.00%</c:formatCode>
                <c:ptCount val="4"/>
                <c:pt idx="0">
                  <c:v>0</c:v>
                </c:pt>
                <c:pt idx="1">
                  <c:v>0</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3"/>
        <c:delete val="1"/>
      </c:legendEntry>
      <c:layout>
        <c:manualLayout>
          <c:xMode val="edge"/>
          <c:yMode val="edge"/>
          <c:x val="0.65"/>
          <c:y val="0.355"/>
          <c:w val="0.333"/>
          <c:h val="0.39025"/>
        </c:manualLayout>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5354</Words>
  <Characters>5902</Characters>
  <Lines>115</Lines>
  <Paragraphs>32</Paragraphs>
  <TotalTime>5</TotalTime>
  <ScaleCrop>false</ScaleCrop>
  <LinksUpToDate>false</LinksUpToDate>
  <CharactersWithSpaces>5968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射洪市市教育体育局</cp:lastModifiedBy>
  <cp:lastPrinted>2023-08-03T02:35:00Z</cp:lastPrinted>
  <dcterms:modified xsi:type="dcterms:W3CDTF">2024-09-28T13:45:10Z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5043A287BA1743AFBD4321E8E1CE98C0_13</vt:lpwstr>
  </property>
</Properties>
</file>