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0CF1D">
      <w:pPr>
        <w:spacing w:line="600" w:lineRule="exact"/>
        <w:jc w:val="left"/>
        <w:outlineLvl w:val="0"/>
        <w:rPr>
          <w:rFonts w:ascii="方正小标宋简体" w:hAnsi="宋体" w:eastAsia="方正小标宋简体"/>
          <w:szCs w:val="21"/>
        </w:rPr>
      </w:pPr>
      <w:bookmarkStart w:id="0" w:name="_Toc15306267"/>
      <w:bookmarkStart w:id="56" w:name="_GoBack"/>
      <w:bookmarkEnd w:id="56"/>
    </w:p>
    <w:p w14:paraId="7C9EAC85">
      <w:pPr>
        <w:pStyle w:val="7"/>
        <w:spacing w:before="93"/>
      </w:pPr>
    </w:p>
    <w:p w14:paraId="0C63E5CD">
      <w:pPr>
        <w:spacing w:line="600" w:lineRule="exact"/>
        <w:jc w:val="center"/>
        <w:outlineLvl w:val="0"/>
        <w:rPr>
          <w:rFonts w:ascii="方正小标宋简体" w:hAnsi="宋体" w:eastAsia="方正小标宋简体"/>
          <w:sz w:val="72"/>
          <w:szCs w:val="72"/>
        </w:rPr>
      </w:pPr>
    </w:p>
    <w:p w14:paraId="785B3B20">
      <w:pPr>
        <w:spacing w:line="600" w:lineRule="exact"/>
        <w:jc w:val="center"/>
        <w:outlineLvl w:val="0"/>
        <w:rPr>
          <w:rFonts w:ascii="方正小标宋简体" w:hAnsi="宋体" w:eastAsia="方正小标宋简体"/>
          <w:sz w:val="72"/>
          <w:szCs w:val="72"/>
        </w:rPr>
      </w:pPr>
    </w:p>
    <w:bookmarkEnd w:id="0"/>
    <w:p w14:paraId="33723B4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p>
    <w:p w14:paraId="3953BA44">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射洪市金华镇伯玉小学校</w:t>
      </w:r>
      <w:r>
        <w:rPr>
          <w:rFonts w:hint="eastAsia" w:ascii="方正小标宋简体" w:hAnsi="方正小标宋简体" w:eastAsia="方正小标宋简体" w:cs="方正小标宋简体"/>
          <w:color w:val="auto"/>
          <w:sz w:val="72"/>
          <w:szCs w:val="72"/>
          <w:highlight w:val="none"/>
          <w:lang w:val="zh-CN" w:eastAsia="zh-CN"/>
        </w:rPr>
        <w:t>单位决算公开</w:t>
      </w:r>
    </w:p>
    <w:p w14:paraId="2589B6F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1DCF082">
      <w:pPr>
        <w:widowControl/>
        <w:jc w:val="center"/>
        <w:rPr>
          <w:rFonts w:ascii="黑体" w:hAnsi="黑体" w:eastAsia="黑体" w:cstheme="minorBidi"/>
          <w:sz w:val="28"/>
          <w:szCs w:val="28"/>
        </w:rPr>
      </w:pPr>
    </w:p>
    <w:p w14:paraId="411A08B5">
      <w:pPr>
        <w:pStyle w:val="13"/>
      </w:pPr>
      <w:r>
        <w:rPr>
          <w:rFonts w:hint="eastAsia"/>
        </w:rPr>
        <w:t>公开时间：202</w:t>
      </w:r>
      <w:r>
        <w:rPr>
          <w:rFonts w:hint="eastAsia"/>
          <w:lang w:val="en-US" w:eastAsia="zh-CN"/>
        </w:rPr>
        <w:t>4</w:t>
      </w:r>
      <w:r>
        <w:rPr>
          <w:rFonts w:hint="eastAsia"/>
        </w:rPr>
        <w:t>年9月</w:t>
      </w:r>
      <w:r>
        <w:rPr>
          <w:rFonts w:hint="eastAsia"/>
          <w:lang w:val="en-US" w:eastAsia="zh-CN"/>
        </w:rPr>
        <w:t>15</w:t>
      </w:r>
      <w:r>
        <w:rPr>
          <w:rFonts w:hint="eastAsia"/>
        </w:rPr>
        <w:t>日</w:t>
      </w:r>
    </w:p>
    <w:p w14:paraId="48059089"/>
    <w:p w14:paraId="29D0F71F">
      <w:pPr>
        <w:tabs>
          <w:tab w:val="right" w:leader="dot" w:pos="8296"/>
        </w:tabs>
        <w:spacing w:beforeLines="0" w:afterLines="0" w:line="440" w:lineRule="exact"/>
        <w:rPr>
          <w:rFonts w:hint="default" w:ascii="仿宋" w:hAnsi="Times New Roman" w:eastAsia="仿宋" w:cs="仿宋"/>
          <w:kern w:val="2"/>
          <w:sz w:val="24"/>
          <w:szCs w:val="24"/>
          <w:lang w:val="zh-CN"/>
        </w:rPr>
      </w:pPr>
      <w:r>
        <w:rPr>
          <w:rFonts w:hint="eastAsia" w:ascii="仿宋" w:hAnsi="Times New Roman" w:eastAsia="仿宋" w:cs="仿宋"/>
          <w:kern w:val="2"/>
          <w:sz w:val="24"/>
          <w:szCs w:val="24"/>
          <w:lang w:val="zh-CN"/>
        </w:rPr>
        <w:t>第一部分 单位概况</w:t>
      </w:r>
    </w:p>
    <w:p w14:paraId="63200671">
      <w:pPr>
        <w:tabs>
          <w:tab w:val="right" w:leader="dot" w:pos="8296"/>
        </w:tabs>
        <w:spacing w:beforeLines="0" w:afterLines="0" w:line="440" w:lineRule="exact"/>
        <w:ind w:left="420"/>
        <w:rPr>
          <w:rFonts w:hint="default" w:ascii="仿宋" w:hAnsi="Times New Roman" w:eastAsia="仿宋" w:cs="仿宋"/>
          <w:kern w:val="2"/>
          <w:sz w:val="24"/>
          <w:szCs w:val="24"/>
          <w:lang w:val="zh-CN"/>
        </w:rPr>
      </w:pPr>
      <w:r>
        <w:rPr>
          <w:rFonts w:hint="eastAsia" w:ascii="宋体" w:hAnsi="Times New Roman" w:eastAsia="宋体" w:cs="宋体"/>
          <w:kern w:val="2"/>
          <w:sz w:val="24"/>
          <w:szCs w:val="24"/>
          <w:lang w:val="zh-CN"/>
        </w:rPr>
        <w:t>一、职责</w:t>
      </w:r>
      <w:r>
        <w:rPr>
          <w:rFonts w:hint="default" w:ascii="Times New Roman" w:hAnsi="Times New Roman" w:eastAsia="仿宋"/>
          <w:sz w:val="24"/>
          <w:szCs w:val="24"/>
        </w:rPr>
        <w:t>....................................................................................................4</w:t>
      </w:r>
    </w:p>
    <w:p w14:paraId="0134B3EC">
      <w:pPr>
        <w:tabs>
          <w:tab w:val="right" w:leader="dot" w:pos="8296"/>
        </w:tabs>
        <w:spacing w:beforeLines="0" w:afterLines="0" w:line="440" w:lineRule="exact"/>
        <w:ind w:left="420"/>
        <w:rPr>
          <w:rFonts w:hint="default" w:ascii="仿宋" w:hAnsi="Times New Roman" w:eastAsia="仿宋" w:cs="仿宋"/>
          <w:kern w:val="2"/>
          <w:sz w:val="24"/>
          <w:szCs w:val="24"/>
          <w:lang w:val="zh-CN"/>
        </w:rPr>
      </w:pPr>
      <w:r>
        <w:rPr>
          <w:rFonts w:hint="eastAsia" w:ascii="宋体" w:hAnsi="Times New Roman" w:eastAsia="宋体" w:cs="宋体"/>
          <w:kern w:val="2"/>
          <w:sz w:val="24"/>
          <w:szCs w:val="24"/>
          <w:lang w:val="zh-CN"/>
        </w:rPr>
        <w:t>二、机构设置</w:t>
      </w:r>
      <w:r>
        <w:rPr>
          <w:rFonts w:hint="default" w:ascii="Times New Roman" w:hAnsi="Times New Roman" w:eastAsia="仿宋"/>
          <w:sz w:val="24"/>
          <w:szCs w:val="24"/>
        </w:rPr>
        <w:t>....................................................................................................4</w:t>
      </w:r>
    </w:p>
    <w:p w14:paraId="4830D0B4">
      <w:pPr>
        <w:tabs>
          <w:tab w:val="right" w:leader="dot" w:pos="8296"/>
        </w:tabs>
        <w:spacing w:beforeLines="0" w:afterLines="0" w:line="440" w:lineRule="exact"/>
        <w:rPr>
          <w:rFonts w:hint="default" w:ascii="仿宋" w:hAnsi="Times New Roman" w:eastAsia="仿宋" w:cs="仿宋"/>
          <w:kern w:val="2"/>
          <w:sz w:val="24"/>
          <w:szCs w:val="24"/>
          <w:lang w:val="zh-CN"/>
        </w:rPr>
      </w:pPr>
      <w:r>
        <w:rPr>
          <w:rFonts w:hint="eastAsia" w:ascii="仿宋" w:hAnsi="Times New Roman" w:eastAsia="仿宋" w:cs="仿宋"/>
          <w:kern w:val="2"/>
          <w:sz w:val="24"/>
          <w:szCs w:val="24"/>
          <w:lang w:val="zh-CN"/>
        </w:rPr>
        <w:t>第二部分 2022年度单位决算情况说明</w:t>
      </w:r>
    </w:p>
    <w:p w14:paraId="792E8053">
      <w:pPr>
        <w:tabs>
          <w:tab w:val="right" w:leader="dot" w:pos="8296"/>
        </w:tabs>
        <w:spacing w:beforeLines="0" w:afterLines="0" w:line="440" w:lineRule="exact"/>
        <w:ind w:left="420"/>
        <w:rPr>
          <w:rFonts w:hint="default" w:ascii="Times New Roman" w:hAnsi="Times New Roman" w:eastAsia="仿宋"/>
          <w:kern w:val="2"/>
          <w:sz w:val="24"/>
          <w:szCs w:val="24"/>
          <w:lang w:val="zh-CN"/>
        </w:rPr>
      </w:pPr>
      <w:r>
        <w:rPr>
          <w:rFonts w:hint="eastAsia" w:ascii="宋体" w:hAnsi="Times New Roman" w:eastAsia="宋体" w:cs="宋体"/>
          <w:kern w:val="2"/>
          <w:sz w:val="24"/>
          <w:szCs w:val="24"/>
          <w:lang w:val="zh-CN"/>
        </w:rPr>
        <w:t>一、收入支出决算总体情况说明</w:t>
      </w:r>
      <w:r>
        <w:rPr>
          <w:rFonts w:hint="default" w:ascii="Times New Roman" w:hAnsi="Times New Roman"/>
          <w:sz w:val="24"/>
          <w:szCs w:val="24"/>
        </w:rPr>
        <w:t>....................................................................5</w:t>
      </w:r>
    </w:p>
    <w:p w14:paraId="4E65EB0B">
      <w:pPr>
        <w:tabs>
          <w:tab w:val="right" w:leader="dot" w:pos="8296"/>
        </w:tabs>
        <w:spacing w:beforeLines="0" w:afterLines="0" w:line="440" w:lineRule="exact"/>
        <w:ind w:left="420"/>
        <w:rPr>
          <w:rFonts w:hint="default" w:ascii="仿宋" w:hAnsi="Times New Roman" w:eastAsia="仿宋" w:cs="仿宋"/>
          <w:kern w:val="2"/>
          <w:sz w:val="24"/>
          <w:szCs w:val="24"/>
          <w:lang w:val="zh-CN"/>
        </w:rPr>
      </w:pPr>
      <w:r>
        <w:rPr>
          <w:rFonts w:hint="eastAsia" w:ascii="宋体" w:hAnsi="Times New Roman" w:eastAsia="宋体" w:cs="宋体"/>
          <w:kern w:val="2"/>
          <w:sz w:val="24"/>
          <w:szCs w:val="24"/>
          <w:lang w:val="zh-CN"/>
        </w:rPr>
        <w:t>二、收入决算情况说明</w:t>
      </w:r>
      <w:r>
        <w:rPr>
          <w:rFonts w:hint="default" w:ascii="Times New Roman" w:hAnsi="Times New Roman"/>
          <w:sz w:val="24"/>
          <w:szCs w:val="24"/>
        </w:rPr>
        <w:t>....................................................................................5</w:t>
      </w:r>
    </w:p>
    <w:p w14:paraId="5B58A75B">
      <w:pPr>
        <w:tabs>
          <w:tab w:val="right" w:leader="dot" w:pos="8296"/>
        </w:tabs>
        <w:spacing w:beforeLines="0" w:afterLines="0" w:line="440" w:lineRule="exact"/>
        <w:ind w:left="420"/>
        <w:rPr>
          <w:rFonts w:hint="default" w:ascii="仿宋" w:hAnsi="Times New Roman" w:eastAsia="仿宋" w:cs="仿宋"/>
          <w:kern w:val="2"/>
          <w:sz w:val="24"/>
          <w:szCs w:val="24"/>
          <w:lang w:val="zh-CN"/>
        </w:rPr>
      </w:pPr>
      <w:r>
        <w:rPr>
          <w:rFonts w:hint="eastAsia" w:ascii="宋体" w:hAnsi="Times New Roman" w:eastAsia="宋体" w:cs="宋体"/>
          <w:kern w:val="2"/>
          <w:sz w:val="24"/>
          <w:szCs w:val="24"/>
          <w:lang w:val="zh-CN"/>
        </w:rPr>
        <w:t>三、支出决算情况说明</w:t>
      </w:r>
      <w:r>
        <w:rPr>
          <w:rFonts w:hint="default" w:ascii="Times New Roman" w:hAnsi="Times New Roman" w:eastAsia="仿宋"/>
          <w:sz w:val="24"/>
          <w:szCs w:val="24"/>
        </w:rPr>
        <w:t>....................................................................................6</w:t>
      </w:r>
    </w:p>
    <w:p w14:paraId="2C8F0E55">
      <w:pPr>
        <w:tabs>
          <w:tab w:val="right" w:leader="dot" w:pos="8296"/>
        </w:tabs>
        <w:spacing w:beforeLines="0" w:afterLines="0" w:line="440" w:lineRule="exact"/>
        <w:ind w:left="420"/>
        <w:rPr>
          <w:rFonts w:hint="eastAsia" w:ascii="仿宋" w:hAnsi="Times New Roman" w:eastAsia="宋体" w:cs="仿宋"/>
          <w:kern w:val="2"/>
          <w:sz w:val="24"/>
          <w:szCs w:val="24"/>
          <w:lang w:val="en-US" w:eastAsia="zh-CN"/>
        </w:rPr>
      </w:pPr>
      <w:r>
        <w:rPr>
          <w:rFonts w:hint="eastAsia" w:ascii="宋体" w:hAnsi="Times New Roman" w:eastAsia="宋体" w:cs="宋体"/>
          <w:kern w:val="2"/>
          <w:sz w:val="24"/>
          <w:szCs w:val="24"/>
          <w:lang w:val="zh-CN"/>
        </w:rPr>
        <w:t>四、财政拨款收入支出决算总体情况说明</w:t>
      </w:r>
      <w:r>
        <w:rPr>
          <w:rFonts w:hint="default" w:ascii="Times New Roman" w:hAnsi="Times New Roman"/>
          <w:sz w:val="24"/>
          <w:szCs w:val="24"/>
        </w:rPr>
        <w:t>...................................................</w:t>
      </w:r>
      <w:r>
        <w:rPr>
          <w:rFonts w:hint="eastAsia"/>
          <w:sz w:val="24"/>
          <w:szCs w:val="24"/>
          <w:lang w:val="en-US" w:eastAsia="zh-CN"/>
        </w:rPr>
        <w:t>6</w:t>
      </w:r>
    </w:p>
    <w:p w14:paraId="7753CE5B">
      <w:pPr>
        <w:tabs>
          <w:tab w:val="right" w:leader="dot" w:pos="8296"/>
        </w:tabs>
        <w:spacing w:beforeLines="0" w:afterLines="0" w:line="440" w:lineRule="exact"/>
        <w:ind w:left="420"/>
        <w:rPr>
          <w:rFonts w:hint="default" w:ascii="仿宋" w:hAnsi="Times New Roman" w:eastAsia="仿宋" w:cs="仿宋"/>
          <w:kern w:val="2"/>
          <w:sz w:val="24"/>
          <w:szCs w:val="24"/>
          <w:lang w:val="zh-CN"/>
        </w:rPr>
      </w:pPr>
      <w:r>
        <w:rPr>
          <w:rFonts w:hint="eastAsia" w:ascii="宋体" w:hAnsi="Times New Roman" w:eastAsia="宋体" w:cs="宋体"/>
          <w:kern w:val="2"/>
          <w:sz w:val="24"/>
          <w:szCs w:val="24"/>
          <w:lang w:val="zh-CN"/>
        </w:rPr>
        <w:t>五、一般公共预算财政拨款支出决算情况说明</w:t>
      </w:r>
      <w:r>
        <w:rPr>
          <w:rFonts w:hint="default" w:ascii="Times New Roman"/>
          <w:sz w:val="24"/>
          <w:szCs w:val="24"/>
        </w:rPr>
        <w:t>......................</w:t>
      </w:r>
      <w:r>
        <w:rPr>
          <w:rFonts w:hint="default" w:ascii="Times New Roman" w:hAnsi="Times New Roman"/>
          <w:sz w:val="24"/>
          <w:szCs w:val="24"/>
        </w:rPr>
        <w:t>......................7</w:t>
      </w:r>
    </w:p>
    <w:p w14:paraId="58CAD7E8">
      <w:pPr>
        <w:tabs>
          <w:tab w:val="right" w:leader="dot" w:pos="8296"/>
        </w:tabs>
        <w:spacing w:beforeLines="0" w:afterLines="0" w:line="440" w:lineRule="exact"/>
        <w:ind w:left="420"/>
        <w:rPr>
          <w:rFonts w:hint="default" w:ascii="仿宋" w:hAnsi="Times New Roman" w:eastAsia="宋体" w:cs="仿宋"/>
          <w:kern w:val="2"/>
          <w:sz w:val="24"/>
          <w:szCs w:val="24"/>
          <w:lang w:val="en-US" w:eastAsia="zh-CN"/>
        </w:rPr>
      </w:pPr>
      <w:r>
        <w:rPr>
          <w:rFonts w:hint="eastAsia" w:ascii="宋体" w:hAnsi="Times New Roman" w:eastAsia="宋体" w:cs="宋体"/>
          <w:kern w:val="2"/>
          <w:sz w:val="24"/>
          <w:szCs w:val="24"/>
          <w:lang w:val="zh-CN"/>
        </w:rPr>
        <w:t>六、一般公共预算财政拨款基本支出决算情况说明</w:t>
      </w:r>
      <w:r>
        <w:rPr>
          <w:rFonts w:hint="default" w:ascii="Times New Roman" w:hAnsi="Times New Roman"/>
          <w:sz w:val="24"/>
          <w:szCs w:val="24"/>
        </w:rPr>
        <w:t>....................................</w:t>
      </w:r>
      <w:r>
        <w:rPr>
          <w:rFonts w:hint="eastAsia" w:ascii="Times New Roman" w:hAnsi="Times New Roman"/>
          <w:sz w:val="24"/>
          <w:szCs w:val="24"/>
          <w:lang w:val="en-US" w:eastAsia="zh-CN"/>
        </w:rPr>
        <w:t>10</w:t>
      </w:r>
    </w:p>
    <w:p w14:paraId="0EBF7F0E">
      <w:pPr>
        <w:tabs>
          <w:tab w:val="right" w:leader="dot" w:pos="8296"/>
        </w:tabs>
        <w:spacing w:beforeLines="0" w:afterLines="0" w:line="440" w:lineRule="exact"/>
        <w:ind w:left="420"/>
        <w:rPr>
          <w:rFonts w:hint="default" w:ascii="仿宋" w:hAnsi="Times New Roman" w:eastAsia="宋体" w:cs="仿宋"/>
          <w:kern w:val="2"/>
          <w:sz w:val="24"/>
          <w:szCs w:val="24"/>
          <w:lang w:val="en-US" w:eastAsia="zh-CN"/>
        </w:rPr>
      </w:pPr>
      <w:r>
        <w:rPr>
          <w:rFonts w:hint="eastAsia" w:ascii="宋体" w:hAnsi="Times New Roman" w:eastAsia="宋体" w:cs="宋体"/>
          <w:kern w:val="2"/>
          <w:sz w:val="24"/>
          <w:szCs w:val="24"/>
          <w:lang w:val="zh-CN"/>
        </w:rPr>
        <w:t>七、财政拨款</w:t>
      </w:r>
      <w:r>
        <w:rPr>
          <w:rFonts w:hint="default" w:ascii="Times New Roman" w:hAnsi="Times New Roman" w:eastAsia="宋体" w:cs="宋体"/>
          <w:kern w:val="2"/>
          <w:sz w:val="24"/>
          <w:szCs w:val="24"/>
          <w:lang w:val="zh-CN"/>
        </w:rPr>
        <w:t>“</w:t>
      </w:r>
      <w:r>
        <w:rPr>
          <w:rFonts w:hint="eastAsia" w:ascii="宋体" w:hAnsi="Times New Roman" w:eastAsia="宋体" w:cs="宋体"/>
          <w:kern w:val="2"/>
          <w:sz w:val="24"/>
          <w:szCs w:val="24"/>
          <w:lang w:val="zh-CN"/>
        </w:rPr>
        <w:t>三公</w:t>
      </w:r>
      <w:r>
        <w:rPr>
          <w:rFonts w:hint="default" w:ascii="Times New Roman" w:hAnsi="Times New Roman" w:eastAsia="宋体" w:cs="宋体"/>
          <w:kern w:val="2"/>
          <w:sz w:val="24"/>
          <w:szCs w:val="24"/>
          <w:lang w:val="zh-CN"/>
        </w:rPr>
        <w:t>”</w:t>
      </w:r>
      <w:r>
        <w:rPr>
          <w:rFonts w:hint="eastAsia" w:ascii="宋体" w:hAnsi="Times New Roman" w:eastAsia="宋体" w:cs="宋体"/>
          <w:kern w:val="2"/>
          <w:sz w:val="24"/>
          <w:szCs w:val="24"/>
          <w:lang w:val="zh-CN"/>
        </w:rPr>
        <w:t>经费支出决算情况说明</w:t>
      </w:r>
      <w:r>
        <w:rPr>
          <w:rFonts w:hint="default" w:ascii="Times New Roman" w:hAnsi="Times New Roman"/>
          <w:sz w:val="24"/>
          <w:szCs w:val="24"/>
        </w:rPr>
        <w:t>.................................................</w:t>
      </w:r>
      <w:r>
        <w:rPr>
          <w:rFonts w:hint="eastAsia" w:ascii="Times New Roman" w:hAnsi="Times New Roman"/>
          <w:sz w:val="24"/>
          <w:szCs w:val="24"/>
          <w:lang w:val="en-US" w:eastAsia="zh-CN"/>
        </w:rPr>
        <w:t>1</w:t>
      </w:r>
      <w:r>
        <w:rPr>
          <w:rFonts w:hint="eastAsia"/>
          <w:sz w:val="24"/>
          <w:szCs w:val="24"/>
          <w:lang w:val="en-US" w:eastAsia="zh-CN"/>
        </w:rPr>
        <w:t>1</w:t>
      </w:r>
    </w:p>
    <w:p w14:paraId="037A6CC4">
      <w:pPr>
        <w:pStyle w:val="14"/>
        <w:adjustRightInd w:val="0"/>
        <w:snapToGrid w:val="0"/>
        <w:spacing w:beforeLines="0" w:afterLines="0" w:line="440" w:lineRule="exact"/>
        <w:ind w:left="480"/>
        <w:jc w:val="left"/>
        <w:rPr>
          <w:rFonts w:hint="eastAsia" w:ascii="仿宋" w:hAnsi="仿宋" w:eastAsia="宋体"/>
          <w:sz w:val="24"/>
          <w:szCs w:val="24"/>
          <w:lang w:val="en-US" w:eastAsia="zh-CN"/>
        </w:rPr>
      </w:pPr>
      <w:r>
        <w:rPr>
          <w:rFonts w:hint="eastAsia" w:ascii="宋体" w:cs="宋体"/>
          <w:sz w:val="21"/>
          <w:szCs w:val="24"/>
          <w:lang w:val="zh-CN"/>
        </w:rPr>
        <w:t>八、政府性基金预算支出决算情况说明</w:t>
      </w:r>
      <w:r>
        <w:rPr>
          <w:rFonts w:hint="default"/>
          <w:sz w:val="24"/>
          <w:szCs w:val="24"/>
        </w:rPr>
        <w:t>........................................... ....................1</w:t>
      </w:r>
      <w:r>
        <w:rPr>
          <w:rFonts w:hint="eastAsia"/>
          <w:sz w:val="24"/>
          <w:szCs w:val="24"/>
          <w:lang w:val="en-US" w:eastAsia="zh-CN"/>
        </w:rPr>
        <w:t>3</w:t>
      </w:r>
    </w:p>
    <w:p w14:paraId="696DF5A9">
      <w:pPr>
        <w:pStyle w:val="14"/>
        <w:adjustRightInd w:val="0"/>
        <w:snapToGrid w:val="0"/>
        <w:spacing w:beforeLines="0" w:afterLines="0" w:line="440" w:lineRule="exact"/>
        <w:ind w:left="480"/>
        <w:jc w:val="left"/>
        <w:rPr>
          <w:rFonts w:hint="eastAsia" w:ascii="仿宋" w:hAnsi="仿宋" w:eastAsia="宋体"/>
          <w:sz w:val="24"/>
          <w:szCs w:val="24"/>
          <w:lang w:val="en-US" w:eastAsia="zh-CN"/>
        </w:rPr>
      </w:pPr>
      <w:r>
        <w:rPr>
          <w:rFonts w:hint="eastAsia" w:ascii="宋体" w:cs="宋体"/>
          <w:sz w:val="21"/>
          <w:szCs w:val="24"/>
          <w:lang w:val="zh-CN"/>
        </w:rPr>
        <w:t>九、国有资本经营预算支出决算情况说明</w:t>
      </w:r>
      <w:r>
        <w:rPr>
          <w:rFonts w:hint="default"/>
          <w:sz w:val="24"/>
          <w:szCs w:val="24"/>
        </w:rPr>
        <w:t>............................................................1</w:t>
      </w:r>
      <w:r>
        <w:rPr>
          <w:rFonts w:hint="eastAsia"/>
          <w:sz w:val="24"/>
          <w:szCs w:val="24"/>
          <w:lang w:val="en-US" w:eastAsia="zh-CN"/>
        </w:rPr>
        <w:t>3</w:t>
      </w:r>
    </w:p>
    <w:p w14:paraId="21C71576">
      <w:pPr>
        <w:pStyle w:val="14"/>
        <w:adjustRightInd w:val="0"/>
        <w:snapToGrid w:val="0"/>
        <w:spacing w:beforeLines="0" w:afterLines="0" w:line="440" w:lineRule="exact"/>
        <w:ind w:left="480"/>
        <w:jc w:val="left"/>
        <w:rPr>
          <w:rFonts w:hint="eastAsia" w:ascii="仿宋" w:hAnsi="仿宋" w:eastAsia="宋体"/>
          <w:sz w:val="24"/>
          <w:szCs w:val="24"/>
          <w:lang w:val="en-US" w:eastAsia="zh-CN"/>
        </w:rPr>
      </w:pPr>
      <w:r>
        <w:rPr>
          <w:rFonts w:hint="eastAsia" w:ascii="宋体" w:cs="宋体"/>
          <w:sz w:val="21"/>
          <w:szCs w:val="24"/>
          <w:lang w:val="zh-CN"/>
        </w:rPr>
        <w:t>十、其他重要事项的情况说明</w:t>
      </w:r>
      <w:r>
        <w:rPr>
          <w:rFonts w:hint="default"/>
          <w:sz w:val="24"/>
          <w:szCs w:val="24"/>
        </w:rPr>
        <w:t>..............................................................................1</w:t>
      </w:r>
      <w:r>
        <w:rPr>
          <w:rFonts w:hint="eastAsia"/>
          <w:sz w:val="24"/>
          <w:szCs w:val="24"/>
          <w:lang w:val="en-US" w:eastAsia="zh-CN"/>
        </w:rPr>
        <w:t>3</w:t>
      </w:r>
    </w:p>
    <w:p w14:paraId="4B17548D">
      <w:pPr>
        <w:tabs>
          <w:tab w:val="right" w:leader="dot" w:pos="8296"/>
        </w:tabs>
        <w:spacing w:beforeLines="0" w:afterLines="0" w:line="440" w:lineRule="exact"/>
        <w:rPr>
          <w:rFonts w:hint="eastAsia" w:ascii="仿宋" w:hAnsi="Times New Roman" w:eastAsia="宋体" w:cs="仿宋"/>
          <w:kern w:val="2"/>
          <w:sz w:val="24"/>
          <w:szCs w:val="24"/>
          <w:lang w:val="en-US" w:eastAsia="zh-CN"/>
        </w:rPr>
      </w:pPr>
      <w:r>
        <w:rPr>
          <w:rFonts w:hint="eastAsia" w:ascii="仿宋" w:hAnsi="Times New Roman" w:eastAsia="仿宋" w:cs="仿宋"/>
          <w:kern w:val="2"/>
          <w:sz w:val="24"/>
          <w:szCs w:val="24"/>
          <w:lang w:val="zh-CN"/>
        </w:rPr>
        <w:t>第三部分 名词解释</w:t>
      </w:r>
      <w:r>
        <w:rPr>
          <w:rFonts w:hint="default" w:ascii="Times New Roman"/>
          <w:sz w:val="24"/>
          <w:szCs w:val="24"/>
        </w:rPr>
        <w:t>..................................................................................................</w:t>
      </w:r>
      <w:r>
        <w:rPr>
          <w:rFonts w:hint="default" w:ascii="Times New Roman" w:hAnsi="Times New Roman"/>
          <w:sz w:val="24"/>
          <w:szCs w:val="24"/>
        </w:rPr>
        <w:t>1</w:t>
      </w:r>
      <w:r>
        <w:rPr>
          <w:rFonts w:hint="eastAsia"/>
          <w:sz w:val="24"/>
          <w:szCs w:val="24"/>
          <w:lang w:val="en-US" w:eastAsia="zh-CN"/>
        </w:rPr>
        <w:t>5</w:t>
      </w:r>
    </w:p>
    <w:p w14:paraId="3F88288E">
      <w:pPr>
        <w:tabs>
          <w:tab w:val="right" w:leader="dot" w:pos="8296"/>
        </w:tabs>
        <w:spacing w:beforeLines="0" w:afterLines="0" w:line="440" w:lineRule="exact"/>
        <w:rPr>
          <w:rFonts w:hint="eastAsia" w:ascii="Times New Roman" w:hAnsi="Times New Roman" w:eastAsia="宋体"/>
          <w:kern w:val="2"/>
          <w:sz w:val="24"/>
          <w:szCs w:val="24"/>
          <w:lang w:val="en-US" w:eastAsia="zh-CN"/>
        </w:rPr>
      </w:pPr>
      <w:r>
        <w:rPr>
          <w:rFonts w:hint="eastAsia" w:ascii="仿宋" w:hAnsi="Times New Roman" w:eastAsia="仿宋" w:cs="仿宋"/>
          <w:kern w:val="2"/>
          <w:sz w:val="24"/>
          <w:szCs w:val="24"/>
          <w:lang w:val="zh-CN"/>
        </w:rPr>
        <w:t>第四部分 附件</w:t>
      </w:r>
      <w:r>
        <w:rPr>
          <w:rFonts w:hint="default" w:ascii="Times New Roman"/>
          <w:sz w:val="24"/>
          <w:szCs w:val="24"/>
        </w:rPr>
        <w:t>..........................................................................................................</w:t>
      </w:r>
      <w:r>
        <w:rPr>
          <w:rFonts w:hint="default" w:ascii="Times New Roman" w:hAnsi="Times New Roman"/>
          <w:sz w:val="24"/>
          <w:szCs w:val="24"/>
        </w:rPr>
        <w:t>1</w:t>
      </w:r>
      <w:r>
        <w:rPr>
          <w:rFonts w:hint="eastAsia"/>
          <w:sz w:val="24"/>
          <w:szCs w:val="24"/>
          <w:lang w:val="en-US" w:eastAsia="zh-CN"/>
        </w:rPr>
        <w:t>8</w:t>
      </w:r>
    </w:p>
    <w:p w14:paraId="2E95B874">
      <w:pPr>
        <w:tabs>
          <w:tab w:val="right" w:leader="dot" w:pos="8296"/>
        </w:tabs>
        <w:spacing w:beforeLines="0" w:afterLines="0" w:line="440" w:lineRule="exact"/>
        <w:rPr>
          <w:rFonts w:hint="default" w:ascii="仿宋" w:hAnsi="Times New Roman" w:eastAsia="宋体" w:cs="仿宋"/>
          <w:kern w:val="2"/>
          <w:sz w:val="24"/>
          <w:szCs w:val="24"/>
          <w:lang w:val="en-US" w:eastAsia="zh-CN"/>
        </w:rPr>
      </w:pPr>
      <w:r>
        <w:rPr>
          <w:rFonts w:hint="eastAsia" w:ascii="仿宋" w:hAnsi="Times New Roman" w:eastAsia="仿宋" w:cs="仿宋"/>
          <w:kern w:val="2"/>
          <w:sz w:val="24"/>
          <w:szCs w:val="24"/>
          <w:lang w:val="zh-CN"/>
        </w:rPr>
        <w:t>第五部分 附表</w:t>
      </w:r>
      <w:r>
        <w:rPr>
          <w:rFonts w:hint="default" w:ascii="Times New Roman"/>
          <w:sz w:val="24"/>
          <w:szCs w:val="24"/>
        </w:rPr>
        <w:t>..........................................................................................................</w:t>
      </w:r>
      <w:r>
        <w:rPr>
          <w:rFonts w:hint="eastAsia"/>
          <w:sz w:val="24"/>
          <w:szCs w:val="24"/>
          <w:lang w:val="en-US" w:eastAsia="zh-CN"/>
        </w:rPr>
        <w:t>19</w:t>
      </w:r>
    </w:p>
    <w:p w14:paraId="7F769979">
      <w:pPr>
        <w:pStyle w:val="14"/>
        <w:adjustRightInd w:val="0"/>
        <w:snapToGrid w:val="0"/>
        <w:spacing w:line="440" w:lineRule="exact"/>
        <w:jc w:val="left"/>
        <w:rPr>
          <w:sz w:val="24"/>
        </w:rPr>
      </w:pPr>
      <w:r>
        <w:rPr>
          <w:rFonts w:hint="eastAsia"/>
          <w:sz w:val="24"/>
        </w:rPr>
        <w:t>一、收入支出决算总表</w:t>
      </w:r>
    </w:p>
    <w:p w14:paraId="55B95F15">
      <w:pPr>
        <w:pStyle w:val="14"/>
        <w:adjustRightInd w:val="0"/>
        <w:snapToGrid w:val="0"/>
        <w:spacing w:line="440" w:lineRule="exact"/>
        <w:jc w:val="left"/>
        <w:rPr>
          <w:sz w:val="24"/>
        </w:rPr>
      </w:pPr>
      <w:r>
        <w:rPr>
          <w:rFonts w:hint="eastAsia"/>
          <w:sz w:val="24"/>
        </w:rPr>
        <w:t>二、收入决算表</w:t>
      </w:r>
    </w:p>
    <w:p w14:paraId="20547A07">
      <w:pPr>
        <w:pStyle w:val="14"/>
        <w:adjustRightInd w:val="0"/>
        <w:snapToGrid w:val="0"/>
        <w:spacing w:line="440" w:lineRule="exact"/>
        <w:jc w:val="left"/>
        <w:rPr>
          <w:sz w:val="24"/>
        </w:rPr>
      </w:pPr>
      <w:r>
        <w:rPr>
          <w:rFonts w:hint="eastAsia"/>
          <w:sz w:val="24"/>
        </w:rPr>
        <w:t>三、支出决算表</w:t>
      </w:r>
    </w:p>
    <w:p w14:paraId="7EF93B24">
      <w:pPr>
        <w:pStyle w:val="14"/>
        <w:adjustRightInd w:val="0"/>
        <w:snapToGrid w:val="0"/>
        <w:spacing w:line="440" w:lineRule="exact"/>
        <w:jc w:val="left"/>
        <w:rPr>
          <w:sz w:val="24"/>
        </w:rPr>
      </w:pPr>
      <w:r>
        <w:rPr>
          <w:rFonts w:hint="eastAsia"/>
          <w:sz w:val="24"/>
        </w:rPr>
        <w:t>四、财政拨款收入支出决算总表</w:t>
      </w:r>
    </w:p>
    <w:p w14:paraId="133F2F66">
      <w:pPr>
        <w:pStyle w:val="14"/>
        <w:adjustRightInd w:val="0"/>
        <w:snapToGrid w:val="0"/>
        <w:spacing w:line="440" w:lineRule="exact"/>
        <w:jc w:val="left"/>
        <w:rPr>
          <w:sz w:val="24"/>
        </w:rPr>
      </w:pPr>
      <w:r>
        <w:rPr>
          <w:rFonts w:hint="eastAsia"/>
          <w:sz w:val="24"/>
        </w:rPr>
        <w:t>五、财政拨款支出决算明细表</w:t>
      </w:r>
    </w:p>
    <w:p w14:paraId="31A20518">
      <w:pPr>
        <w:pStyle w:val="14"/>
        <w:adjustRightInd w:val="0"/>
        <w:snapToGrid w:val="0"/>
        <w:spacing w:line="440" w:lineRule="exact"/>
        <w:jc w:val="left"/>
        <w:rPr>
          <w:sz w:val="24"/>
        </w:rPr>
      </w:pPr>
      <w:r>
        <w:rPr>
          <w:rFonts w:hint="eastAsia"/>
          <w:sz w:val="24"/>
        </w:rPr>
        <w:t>六、一般公共预算财政拨款支出决算表</w:t>
      </w:r>
    </w:p>
    <w:p w14:paraId="15A41EF8">
      <w:pPr>
        <w:pStyle w:val="14"/>
        <w:adjustRightInd w:val="0"/>
        <w:snapToGrid w:val="0"/>
        <w:spacing w:line="440" w:lineRule="exact"/>
        <w:jc w:val="left"/>
        <w:rPr>
          <w:sz w:val="24"/>
        </w:rPr>
      </w:pPr>
      <w:r>
        <w:rPr>
          <w:rFonts w:hint="eastAsia"/>
          <w:sz w:val="24"/>
        </w:rPr>
        <w:t>七、一般公共预算财政拨款支出决算明细表</w:t>
      </w:r>
    </w:p>
    <w:p w14:paraId="032C47F7">
      <w:pPr>
        <w:pStyle w:val="14"/>
        <w:adjustRightInd w:val="0"/>
        <w:snapToGrid w:val="0"/>
        <w:spacing w:line="440" w:lineRule="exact"/>
        <w:jc w:val="left"/>
        <w:rPr>
          <w:sz w:val="24"/>
        </w:rPr>
      </w:pPr>
      <w:r>
        <w:rPr>
          <w:rFonts w:hint="eastAsia"/>
          <w:sz w:val="24"/>
        </w:rPr>
        <w:t>八、一般公共预算财政拨款基本支出决算明细表</w:t>
      </w:r>
    </w:p>
    <w:p w14:paraId="16C50BC2">
      <w:pPr>
        <w:pStyle w:val="14"/>
        <w:adjustRightInd w:val="0"/>
        <w:snapToGrid w:val="0"/>
        <w:spacing w:line="440" w:lineRule="exact"/>
        <w:jc w:val="left"/>
        <w:rPr>
          <w:sz w:val="24"/>
        </w:rPr>
      </w:pPr>
      <w:r>
        <w:rPr>
          <w:rFonts w:hint="eastAsia"/>
          <w:sz w:val="24"/>
        </w:rPr>
        <w:t>九、一般公共预算财政拨款项目支出决算表</w:t>
      </w:r>
    </w:p>
    <w:p w14:paraId="61ED9362">
      <w:pPr>
        <w:pStyle w:val="14"/>
        <w:adjustRightInd w:val="0"/>
        <w:snapToGrid w:val="0"/>
        <w:spacing w:line="440" w:lineRule="exact"/>
        <w:jc w:val="left"/>
        <w:rPr>
          <w:sz w:val="24"/>
        </w:rPr>
      </w:pPr>
      <w:r>
        <w:rPr>
          <w:rFonts w:hint="eastAsia"/>
          <w:sz w:val="24"/>
        </w:rPr>
        <w:t>十、政府性基金预算财政拨款收入支出决算表</w:t>
      </w:r>
    </w:p>
    <w:p w14:paraId="444DB28F">
      <w:pPr>
        <w:pStyle w:val="14"/>
        <w:adjustRightInd w:val="0"/>
        <w:snapToGrid w:val="0"/>
        <w:spacing w:line="440" w:lineRule="exact"/>
        <w:jc w:val="left"/>
        <w:rPr>
          <w:sz w:val="24"/>
        </w:rPr>
      </w:pPr>
      <w:r>
        <w:rPr>
          <w:rFonts w:hint="eastAsia"/>
          <w:sz w:val="24"/>
        </w:rPr>
        <w:t>十一、国有资本经营预算财政拨款收入支出决算表</w:t>
      </w:r>
    </w:p>
    <w:p w14:paraId="418780A7">
      <w:pPr>
        <w:pStyle w:val="14"/>
        <w:adjustRightInd w:val="0"/>
        <w:snapToGrid w:val="0"/>
        <w:spacing w:line="440" w:lineRule="exact"/>
        <w:jc w:val="left"/>
        <w:rPr>
          <w:sz w:val="24"/>
        </w:rPr>
      </w:pPr>
      <w:r>
        <w:rPr>
          <w:rFonts w:hint="eastAsia"/>
          <w:sz w:val="24"/>
        </w:rPr>
        <w:t>十二、国有资本经营预算财政拨款支出决算表</w:t>
      </w:r>
    </w:p>
    <w:p w14:paraId="1BD8004A">
      <w:pPr>
        <w:pStyle w:val="14"/>
        <w:adjustRightInd w:val="0"/>
        <w:snapToGrid w:val="0"/>
        <w:spacing w:line="440" w:lineRule="exact"/>
        <w:jc w:val="left"/>
        <w:rPr>
          <w:sz w:val="24"/>
        </w:rPr>
      </w:pPr>
      <w:r>
        <w:rPr>
          <w:rFonts w:hint="eastAsia"/>
          <w:sz w:val="24"/>
        </w:rPr>
        <w:t>十三、财政拨款“三公”经费支出决算表</w:t>
      </w:r>
    </w:p>
    <w:p w14:paraId="2F38A9B1">
      <w:pPr>
        <w:widowControl/>
        <w:spacing w:line="440" w:lineRule="exact"/>
        <w:jc w:val="left"/>
        <w:rPr>
          <w:rFonts w:ascii="仿宋" w:hAnsi="仿宋" w:eastAsia="仿宋"/>
          <w:bCs/>
          <w:kern w:val="44"/>
          <w:sz w:val="24"/>
        </w:rPr>
      </w:pPr>
      <w:bookmarkStart w:id="1" w:name="_Toc15396599"/>
      <w:bookmarkStart w:id="2" w:name="_Toc15377196"/>
      <w:r>
        <w:rPr>
          <w:rFonts w:ascii="仿宋" w:hAnsi="仿宋" w:eastAsia="仿宋"/>
          <w:b/>
          <w:sz w:val="24"/>
        </w:rPr>
        <w:br w:type="page"/>
      </w:r>
    </w:p>
    <w:p w14:paraId="36368B13">
      <w:pPr>
        <w:pStyle w:val="4"/>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
      <w:bookmarkEnd w:id="2"/>
    </w:p>
    <w:p w14:paraId="19CEF395">
      <w:pPr>
        <w:widowControl/>
        <w:jc w:val="left"/>
        <w:rPr>
          <w:rFonts w:ascii="黑体" w:eastAsia="黑体"/>
          <w:sz w:val="32"/>
          <w:szCs w:val="32"/>
        </w:rPr>
      </w:pPr>
    </w:p>
    <w:p w14:paraId="4D857746">
      <w:pPr>
        <w:pStyle w:val="5"/>
        <w:numPr>
          <w:ilvl w:val="0"/>
          <w:numId w:val="1"/>
        </w:numPr>
        <w:rPr>
          <w:rStyle w:val="30"/>
          <w:rFonts w:ascii="黑体" w:hAnsi="黑体" w:eastAsia="黑体"/>
          <w:b w:val="0"/>
          <w:bCs w:val="0"/>
        </w:rPr>
      </w:pPr>
      <w:bookmarkStart w:id="3" w:name="_Toc15377197"/>
      <w:bookmarkStart w:id="4" w:name="_Toc15396600"/>
      <w:r>
        <w:rPr>
          <w:rStyle w:val="30"/>
          <w:rFonts w:hint="eastAsia" w:ascii="黑体" w:hAnsi="黑体" w:eastAsia="黑体"/>
          <w:b w:val="0"/>
          <w:bCs w:val="0"/>
        </w:rPr>
        <w:t>主要职责</w:t>
      </w:r>
    </w:p>
    <w:p w14:paraId="4E300ACB">
      <w:pPr>
        <w:pStyle w:val="35"/>
        <w:spacing w:line="600" w:lineRule="exact"/>
        <w:ind w:firstLine="632"/>
        <w:rPr>
          <w:rFonts w:hint="eastAsia" w:ascii="华文仿宋" w:hAnsi="华文仿宋" w:eastAsia="华文仿宋"/>
          <w:bCs/>
          <w:color w:val="000000"/>
          <w:szCs w:val="32"/>
        </w:rPr>
      </w:pPr>
      <w:r>
        <w:rPr>
          <w:rStyle w:val="36"/>
          <w:rFonts w:hint="eastAsia" w:ascii="华文仿宋" w:hAnsi="华文仿宋" w:eastAsia="华文仿宋"/>
        </w:rPr>
        <w:t>实施义务教育，促进基础教育发展。义务教育阶段学历教育，相关社会服务</w:t>
      </w:r>
      <w:r>
        <w:rPr>
          <w:rStyle w:val="36"/>
          <w:rFonts w:ascii="华文仿宋" w:hAnsi="华文仿宋" w:eastAsia="华文仿宋"/>
        </w:rPr>
        <w:t>。</w:t>
      </w:r>
    </w:p>
    <w:p w14:paraId="5BED14BB"/>
    <w:p w14:paraId="52D62B64">
      <w:pPr>
        <w:pStyle w:val="5"/>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5D7AF2D8">
      <w:pPr>
        <w:ind w:firstLine="800" w:firstLineChars="250"/>
        <w:rPr>
          <w:rFonts w:hint="default" w:ascii="仿宋" w:hAnsi="仿宋" w:eastAsia="仿宋"/>
          <w:color w:val="auto"/>
          <w:sz w:val="32"/>
          <w:szCs w:val="32"/>
          <w:highlight w:val="yellow"/>
          <w:lang w:val="en-US" w:eastAsia="zh-CN"/>
        </w:rPr>
      </w:pPr>
      <w:r>
        <w:rPr>
          <w:rFonts w:hint="eastAsia" w:ascii="仿宋" w:hAnsi="仿宋" w:eastAsia="仿宋"/>
          <w:color w:val="auto"/>
          <w:sz w:val="32"/>
          <w:szCs w:val="32"/>
          <w:highlight w:val="none"/>
          <w:lang w:eastAsia="zh-CN"/>
        </w:rPr>
        <w:t>射洪市金华镇伯玉小学校</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536307C2">
      <w:pPr>
        <w:numPr>
          <w:ilvl w:val="0"/>
          <w:numId w:val="0"/>
        </w:numPr>
        <w:ind w:leftChars="0"/>
      </w:pPr>
    </w:p>
    <w:bookmarkEnd w:id="3"/>
    <w:bookmarkEnd w:id="4"/>
    <w:p w14:paraId="6865AF9F">
      <w:pPr>
        <w:widowControl/>
        <w:jc w:val="left"/>
        <w:rPr>
          <w:rFonts w:ascii="仿宋" w:hAnsi="仿宋" w:eastAsia="仿宋"/>
          <w:kern w:val="0"/>
          <w:sz w:val="32"/>
          <w:szCs w:val="32"/>
        </w:rPr>
      </w:pPr>
      <w:r>
        <w:rPr>
          <w:rFonts w:ascii="仿宋" w:hAnsi="仿宋" w:eastAsia="仿宋"/>
          <w:sz w:val="32"/>
          <w:szCs w:val="32"/>
        </w:rPr>
        <w:br w:type="page"/>
      </w:r>
    </w:p>
    <w:p w14:paraId="7365DA91">
      <w:pPr>
        <w:pStyle w:val="4"/>
        <w:ind w:right="440"/>
        <w:jc w:val="center"/>
        <w:rPr>
          <w:rStyle w:val="29"/>
          <w:rFonts w:ascii="黑体" w:hAnsi="黑体" w:eastAsia="黑体"/>
          <w:b w:val="0"/>
          <w:bCs/>
        </w:rPr>
      </w:pPr>
      <w:bookmarkStart w:id="5" w:name="_Toc15377204"/>
      <w:bookmarkStart w:id="6" w:name="_Toc15396602"/>
      <w:r>
        <w:rPr>
          <w:rFonts w:hint="eastAsia" w:ascii="黑体" w:hAnsi="黑体" w:eastAsia="黑体"/>
          <w:b w:val="0"/>
        </w:rPr>
        <w:t>第二部分 2023年度</w:t>
      </w:r>
      <w:r>
        <w:rPr>
          <w:rStyle w:val="29"/>
          <w:rFonts w:hint="eastAsia" w:ascii="黑体" w:hAnsi="黑体" w:eastAsia="黑体"/>
          <w:b w:val="0"/>
          <w:bCs/>
        </w:rPr>
        <w:t>单位决算情况说明</w:t>
      </w:r>
      <w:bookmarkEnd w:id="5"/>
      <w:bookmarkEnd w:id="6"/>
    </w:p>
    <w:p w14:paraId="1CA47357"/>
    <w:p w14:paraId="4B4002D7">
      <w:pPr>
        <w:pStyle w:val="28"/>
        <w:numPr>
          <w:ilvl w:val="0"/>
          <w:numId w:val="2"/>
        </w:numPr>
        <w:spacing w:line="600" w:lineRule="exact"/>
        <w:ind w:firstLineChars="0"/>
        <w:outlineLvl w:val="1"/>
        <w:rPr>
          <w:rStyle w:val="30"/>
          <w:rFonts w:ascii="黑体" w:hAnsi="黑体" w:eastAsia="黑体"/>
          <w:b w:val="0"/>
        </w:rPr>
      </w:pPr>
      <w:bookmarkStart w:id="7" w:name="_Toc15377205"/>
      <w:bookmarkStart w:id="8"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7"/>
      <w:bookmarkEnd w:id="8"/>
    </w:p>
    <w:p w14:paraId="65B42DFA">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lang w:val="en-US" w:eastAsia="zh-CN"/>
        </w:rPr>
        <w:t>237.35</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12.33</w:t>
      </w:r>
      <w:r>
        <w:rPr>
          <w:rFonts w:hint="eastAsia" w:ascii="仿宋" w:hAnsi="仿宋" w:eastAsia="仿宋"/>
          <w:sz w:val="32"/>
          <w:szCs w:val="32"/>
        </w:rPr>
        <w:t>万元，增长</w:t>
      </w:r>
      <w:r>
        <w:rPr>
          <w:rFonts w:hint="eastAsia" w:ascii="仿宋" w:hAnsi="仿宋" w:eastAsia="仿宋"/>
          <w:sz w:val="32"/>
          <w:szCs w:val="32"/>
          <w:lang w:val="en-US" w:eastAsia="zh-CN"/>
        </w:rPr>
        <w:t>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eastAsia="zh-CN"/>
        </w:rPr>
        <w:t>人员增减变动及发放在职教师基础性绩效及退休教师生活补助</w:t>
      </w:r>
      <w:r>
        <w:rPr>
          <w:rFonts w:hint="eastAsia" w:ascii="仿宋" w:hAnsi="仿宋" w:eastAsia="仿宋"/>
          <w:sz w:val="32"/>
          <w:szCs w:val="32"/>
        </w:rPr>
        <w:t>。</w:t>
      </w:r>
    </w:p>
    <w:p w14:paraId="60911A21">
      <w:pPr>
        <w:spacing w:line="60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305435</wp:posOffset>
            </wp:positionH>
            <wp:positionV relativeFrom="paragraph">
              <wp:posOffset>113665</wp:posOffset>
            </wp:positionV>
            <wp:extent cx="4162425" cy="2609850"/>
            <wp:effectExtent l="0" t="0" r="952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62425" cy="2609850"/>
                    </a:xfrm>
                    <a:prstGeom prst="rect">
                      <a:avLst/>
                    </a:prstGeom>
                    <a:noFill/>
                    <a:ln>
                      <a:noFill/>
                    </a:ln>
                  </pic:spPr>
                </pic:pic>
              </a:graphicData>
            </a:graphic>
          </wp:anchor>
        </w:drawing>
      </w:r>
    </w:p>
    <w:p w14:paraId="092AAF46">
      <w:pPr>
        <w:pStyle w:val="28"/>
        <w:numPr>
          <w:ilvl w:val="0"/>
          <w:numId w:val="2"/>
        </w:numPr>
        <w:spacing w:line="600" w:lineRule="exact"/>
        <w:ind w:firstLineChars="0"/>
        <w:outlineLvl w:val="1"/>
        <w:rPr>
          <w:rStyle w:val="30"/>
          <w:rFonts w:ascii="黑体" w:hAnsi="黑体" w:eastAsia="黑体"/>
          <w:b w:val="0"/>
        </w:rPr>
      </w:pPr>
      <w:bookmarkStart w:id="9" w:name="_Toc15377206"/>
      <w:bookmarkStart w:id="10" w:name="_Toc15396604"/>
      <w:r>
        <w:rPr>
          <w:rFonts w:hint="eastAsia" w:ascii="黑体" w:hAnsi="黑体" w:eastAsia="黑体"/>
          <w:sz w:val="32"/>
          <w:szCs w:val="32"/>
        </w:rPr>
        <w:t>收</w:t>
      </w:r>
      <w:r>
        <w:rPr>
          <w:rStyle w:val="30"/>
          <w:rFonts w:hint="eastAsia" w:ascii="黑体" w:hAnsi="黑体" w:eastAsia="黑体"/>
          <w:b w:val="0"/>
        </w:rPr>
        <w:t>入决算情况说明</w:t>
      </w:r>
      <w:bookmarkEnd w:id="9"/>
      <w:bookmarkEnd w:id="10"/>
    </w:p>
    <w:p w14:paraId="6FC7741A">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2023年度本年收入合计</w:t>
      </w:r>
      <w:r>
        <w:rPr>
          <w:rFonts w:hint="eastAsia" w:ascii="仿宋" w:hAnsi="仿宋" w:eastAsia="仿宋"/>
          <w:b/>
          <w:sz w:val="32"/>
          <w:szCs w:val="32"/>
          <w:lang w:val="en-US" w:eastAsia="zh-CN"/>
        </w:rPr>
        <w:t>237.35</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237.35</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p>
    <w:p w14:paraId="71F99E62">
      <w:pPr>
        <w:rPr>
          <w:rFonts w:hint="eastAsia" w:ascii="仿宋" w:hAnsi="仿宋" w:eastAsia="仿宋"/>
          <w:sz w:val="32"/>
          <w:szCs w:val="32"/>
          <w:lang w:eastAsia="zh-CN"/>
        </w:rPr>
      </w:pPr>
    </w:p>
    <w:p w14:paraId="63E0DA01">
      <w:pPr>
        <w:pStyle w:val="2"/>
        <w:rPr>
          <w:rFonts w:ascii="仿宋_GB2312" w:eastAsia="仿宋_GB2312"/>
          <w:sz w:val="32"/>
          <w:szCs w:val="32"/>
        </w:rPr>
      </w:pPr>
      <w:r>
        <w:drawing>
          <wp:inline distT="0" distB="0" distL="114300" distR="114300">
            <wp:extent cx="4267200" cy="2505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267200" cy="2505075"/>
                    </a:xfrm>
                    <a:prstGeom prst="rect">
                      <a:avLst/>
                    </a:prstGeom>
                    <a:noFill/>
                    <a:ln>
                      <a:noFill/>
                    </a:ln>
                  </pic:spPr>
                </pic:pic>
              </a:graphicData>
            </a:graphic>
          </wp:inline>
        </w:drawing>
      </w:r>
    </w:p>
    <w:p w14:paraId="012DD4E0">
      <w:pPr>
        <w:pStyle w:val="28"/>
        <w:numPr>
          <w:ilvl w:val="0"/>
          <w:numId w:val="2"/>
        </w:numPr>
        <w:spacing w:line="600" w:lineRule="exact"/>
        <w:ind w:firstLineChars="0"/>
        <w:outlineLvl w:val="1"/>
        <w:rPr>
          <w:rStyle w:val="30"/>
          <w:rFonts w:ascii="黑体" w:hAnsi="黑体" w:eastAsia="黑体"/>
          <w:b w:val="0"/>
        </w:rPr>
      </w:pPr>
      <w:bookmarkStart w:id="11" w:name="_Toc15377207"/>
      <w:bookmarkStart w:id="12" w:name="_Toc15396605"/>
      <w:r>
        <w:rPr>
          <w:rFonts w:hint="eastAsia" w:ascii="黑体" w:hAnsi="黑体" w:eastAsia="黑体"/>
          <w:sz w:val="32"/>
          <w:szCs w:val="32"/>
        </w:rPr>
        <w:t>支</w:t>
      </w:r>
      <w:r>
        <w:rPr>
          <w:rStyle w:val="30"/>
          <w:rFonts w:hint="eastAsia" w:ascii="黑体" w:hAnsi="黑体" w:eastAsia="黑体"/>
          <w:b w:val="0"/>
        </w:rPr>
        <w:t>出决算情况说明</w:t>
      </w:r>
      <w:bookmarkEnd w:id="11"/>
      <w:bookmarkEnd w:id="12"/>
    </w:p>
    <w:p w14:paraId="49C63F3F">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w:t>
      </w:r>
      <w:r>
        <w:rPr>
          <w:rFonts w:hint="eastAsia" w:ascii="仿宋" w:hAnsi="仿宋" w:eastAsia="仿宋"/>
          <w:b/>
          <w:sz w:val="32"/>
          <w:szCs w:val="32"/>
          <w:lang w:val="en-US" w:eastAsia="zh-CN"/>
        </w:rPr>
        <w:t>237.35</w:t>
      </w:r>
      <w:r>
        <w:rPr>
          <w:rFonts w:hint="eastAsia" w:ascii="仿宋" w:hAnsi="仿宋" w:eastAsia="仿宋"/>
          <w:sz w:val="32"/>
          <w:szCs w:val="32"/>
        </w:rPr>
        <w:t>万元，其中：基本支出</w:t>
      </w:r>
      <w:r>
        <w:rPr>
          <w:rFonts w:hint="eastAsia" w:ascii="仿宋" w:hAnsi="仿宋" w:eastAsia="仿宋"/>
          <w:b/>
          <w:sz w:val="32"/>
          <w:szCs w:val="32"/>
          <w:lang w:val="en-US" w:eastAsia="zh-CN"/>
        </w:rPr>
        <w:t>237.31</w:t>
      </w:r>
      <w:r>
        <w:rPr>
          <w:rFonts w:hint="eastAsia" w:ascii="仿宋" w:hAnsi="仿宋" w:eastAsia="仿宋"/>
          <w:sz w:val="32"/>
          <w:szCs w:val="32"/>
        </w:rPr>
        <w:t>万元，占</w:t>
      </w:r>
      <w:r>
        <w:rPr>
          <w:rFonts w:ascii="仿宋" w:hAnsi="仿宋" w:eastAsia="仿宋"/>
          <w:b/>
          <w:sz w:val="32"/>
          <w:szCs w:val="32"/>
        </w:rPr>
        <w:t>99.</w:t>
      </w:r>
      <w:r>
        <w:rPr>
          <w:rFonts w:hint="eastAsia" w:ascii="仿宋" w:hAnsi="仿宋" w:eastAsia="仿宋"/>
          <w:b/>
          <w:sz w:val="32"/>
          <w:szCs w:val="32"/>
          <w:lang w:val="en-US" w:eastAsia="zh-CN"/>
        </w:rPr>
        <w:t>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0.04</w:t>
      </w:r>
      <w:r>
        <w:rPr>
          <w:rFonts w:hint="eastAsia" w:ascii="仿宋" w:hAnsi="仿宋" w:eastAsia="仿宋"/>
          <w:sz w:val="32"/>
          <w:szCs w:val="32"/>
        </w:rPr>
        <w:t>万元，占</w:t>
      </w:r>
      <w:r>
        <w:rPr>
          <w:rFonts w:ascii="仿宋" w:hAnsi="仿宋" w:eastAsia="仿宋"/>
          <w:b/>
          <w:sz w:val="32"/>
          <w:szCs w:val="32"/>
        </w:rPr>
        <w:t>0.</w:t>
      </w:r>
      <w:r>
        <w:rPr>
          <w:rFonts w:hint="eastAsia" w:ascii="仿宋" w:hAnsi="仿宋" w:eastAsia="仿宋"/>
          <w:b/>
          <w:sz w:val="32"/>
          <w:szCs w:val="32"/>
          <w:lang w:val="en-US" w:eastAsia="zh-CN"/>
        </w:rPr>
        <w:t>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5F0C888C">
      <w:pPr>
        <w:pStyle w:val="2"/>
        <w:rPr>
          <w:rFonts w:hint="eastAsia" w:ascii="仿宋" w:hAnsi="仿宋" w:eastAsia="仿宋"/>
          <w:sz w:val="32"/>
          <w:szCs w:val="32"/>
        </w:rPr>
      </w:pPr>
      <w:r>
        <w:drawing>
          <wp:inline distT="0" distB="0" distL="114300" distR="114300">
            <wp:extent cx="3886200" cy="2590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886200" cy="2590800"/>
                    </a:xfrm>
                    <a:prstGeom prst="rect">
                      <a:avLst/>
                    </a:prstGeom>
                    <a:noFill/>
                    <a:ln>
                      <a:noFill/>
                    </a:ln>
                  </pic:spPr>
                </pic:pic>
              </a:graphicData>
            </a:graphic>
          </wp:inline>
        </w:drawing>
      </w:r>
    </w:p>
    <w:p w14:paraId="66D1A9D3">
      <w:pPr>
        <w:pStyle w:val="3"/>
      </w:pPr>
    </w:p>
    <w:p w14:paraId="2747978B">
      <w:pPr>
        <w:spacing w:line="600" w:lineRule="exact"/>
        <w:ind w:firstLine="640" w:firstLineChars="200"/>
        <w:outlineLvl w:val="1"/>
        <w:rPr>
          <w:rStyle w:val="30"/>
          <w:rFonts w:ascii="黑体" w:hAnsi="黑体" w:eastAsia="黑体"/>
          <w:b w:val="0"/>
        </w:rPr>
      </w:pPr>
      <w:bookmarkStart w:id="13" w:name="_Toc15377208"/>
      <w:bookmarkStart w:id="14"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13"/>
      <w:bookmarkEnd w:id="14"/>
    </w:p>
    <w:p w14:paraId="1A6DDE5A">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sz w:val="32"/>
          <w:szCs w:val="32"/>
        </w:rPr>
        <w:t>2023年度财政拨款收、支总计均为</w:t>
      </w:r>
      <w:r>
        <w:rPr>
          <w:rFonts w:hint="eastAsia" w:ascii="仿宋" w:hAnsi="仿宋" w:eastAsia="仿宋"/>
          <w:b/>
          <w:sz w:val="32"/>
          <w:szCs w:val="32"/>
          <w:lang w:val="en-US" w:eastAsia="zh-CN"/>
        </w:rPr>
        <w:t>237.35</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12.33</w:t>
      </w:r>
      <w:r>
        <w:rPr>
          <w:rFonts w:hint="eastAsia" w:ascii="仿宋" w:hAnsi="仿宋" w:eastAsia="仿宋"/>
          <w:sz w:val="32"/>
          <w:szCs w:val="32"/>
        </w:rPr>
        <w:t>万元，增长</w:t>
      </w:r>
      <w:r>
        <w:rPr>
          <w:rFonts w:hint="eastAsia" w:ascii="仿宋" w:hAnsi="仿宋" w:eastAsia="仿宋"/>
          <w:sz w:val="32"/>
          <w:szCs w:val="32"/>
          <w:lang w:val="en-US" w:eastAsia="zh-CN"/>
        </w:rPr>
        <w:t>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eastAsia="zh-CN"/>
        </w:rPr>
        <w:t>人员增减变动及发放在职教师基础性绩效及退休教师生活补助。</w:t>
      </w:r>
    </w:p>
    <w:p w14:paraId="1306996A">
      <w:pPr>
        <w:pStyle w:val="2"/>
      </w:pPr>
      <w:r>
        <w:drawing>
          <wp:inline distT="0" distB="0" distL="114300" distR="114300">
            <wp:extent cx="4495800" cy="2581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495800" cy="2581275"/>
                    </a:xfrm>
                    <a:prstGeom prst="rect">
                      <a:avLst/>
                    </a:prstGeom>
                    <a:noFill/>
                    <a:ln>
                      <a:noFill/>
                    </a:ln>
                  </pic:spPr>
                </pic:pic>
              </a:graphicData>
            </a:graphic>
          </wp:inline>
        </w:drawing>
      </w:r>
    </w:p>
    <w:p w14:paraId="7AE9707C">
      <w:pPr>
        <w:spacing w:line="600" w:lineRule="exact"/>
        <w:ind w:firstLine="640" w:firstLineChars="200"/>
        <w:outlineLvl w:val="1"/>
        <w:rPr>
          <w:rStyle w:val="30"/>
          <w:rFonts w:ascii="黑体" w:hAnsi="黑体" w:eastAsia="黑体"/>
          <w:b w:val="0"/>
        </w:rPr>
      </w:pPr>
      <w:bookmarkStart w:id="15" w:name="_Toc15396607"/>
      <w:bookmarkStart w:id="16"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15"/>
      <w:bookmarkEnd w:id="16"/>
    </w:p>
    <w:p w14:paraId="75D27AF0">
      <w:pPr>
        <w:spacing w:line="600" w:lineRule="exact"/>
        <w:ind w:firstLine="643" w:firstLineChars="200"/>
        <w:outlineLvl w:val="2"/>
        <w:rPr>
          <w:rFonts w:ascii="仿宋" w:hAnsi="仿宋" w:eastAsia="仿宋"/>
          <w:b/>
          <w:sz w:val="32"/>
          <w:szCs w:val="32"/>
        </w:rPr>
      </w:pPr>
      <w:bookmarkStart w:id="17" w:name="_Toc15377210"/>
      <w:r>
        <w:rPr>
          <w:rFonts w:hint="eastAsia" w:ascii="仿宋" w:hAnsi="仿宋" w:eastAsia="仿宋"/>
          <w:b/>
          <w:sz w:val="32"/>
          <w:szCs w:val="32"/>
        </w:rPr>
        <w:t>（一）一般公共预算财政拨款支出决算总体情况</w:t>
      </w:r>
      <w:bookmarkEnd w:id="17"/>
    </w:p>
    <w:p w14:paraId="10365977">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hint="eastAsia" w:ascii="仿宋" w:hAnsi="仿宋" w:eastAsia="仿宋"/>
          <w:b/>
          <w:sz w:val="32"/>
          <w:szCs w:val="32"/>
          <w:lang w:val="en-US" w:eastAsia="zh-CN"/>
        </w:rPr>
        <w:t>237.35</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12.33</w:t>
      </w:r>
      <w:r>
        <w:rPr>
          <w:rFonts w:hint="eastAsia" w:ascii="仿宋" w:hAnsi="仿宋" w:eastAsia="仿宋"/>
          <w:sz w:val="32"/>
          <w:szCs w:val="32"/>
        </w:rPr>
        <w:t>万元，增长</w:t>
      </w:r>
      <w:r>
        <w:rPr>
          <w:rFonts w:hint="eastAsia" w:ascii="仿宋" w:hAnsi="仿宋" w:eastAsia="仿宋"/>
          <w:sz w:val="32"/>
          <w:szCs w:val="32"/>
          <w:lang w:val="en-US" w:eastAsia="zh-CN"/>
        </w:rPr>
        <w:t>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eastAsia="zh-CN"/>
        </w:rPr>
        <w:t>人员增减变动及发放在职教师基础性绩效及退休教师生活补助。</w:t>
      </w:r>
    </w:p>
    <w:p w14:paraId="7213E2D1">
      <w:pPr>
        <w:pStyle w:val="3"/>
        <w:rPr>
          <w:rFonts w:ascii="仿宋" w:hAnsi="仿宋" w:eastAsia="仿宋"/>
          <w:sz w:val="32"/>
          <w:szCs w:val="32"/>
        </w:rPr>
      </w:pPr>
    </w:p>
    <w:p w14:paraId="7C639A88">
      <w:r>
        <w:drawing>
          <wp:inline distT="0" distB="0" distL="114300" distR="114300">
            <wp:extent cx="4467225" cy="268605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4467225" cy="2686050"/>
                    </a:xfrm>
                    <a:prstGeom prst="rect">
                      <a:avLst/>
                    </a:prstGeom>
                    <a:noFill/>
                    <a:ln>
                      <a:noFill/>
                    </a:ln>
                  </pic:spPr>
                </pic:pic>
              </a:graphicData>
            </a:graphic>
          </wp:inline>
        </w:drawing>
      </w:r>
    </w:p>
    <w:p w14:paraId="434CDD58">
      <w:pPr>
        <w:spacing w:line="600" w:lineRule="exact"/>
        <w:ind w:firstLine="643" w:firstLineChars="200"/>
        <w:outlineLvl w:val="2"/>
        <w:rPr>
          <w:rFonts w:ascii="仿宋" w:hAnsi="仿宋" w:eastAsia="仿宋"/>
          <w:b/>
          <w:sz w:val="32"/>
          <w:szCs w:val="32"/>
        </w:rPr>
      </w:pPr>
      <w:bookmarkStart w:id="18" w:name="_Toc15377211"/>
      <w:r>
        <w:rPr>
          <w:rFonts w:hint="eastAsia" w:ascii="仿宋" w:hAnsi="仿宋" w:eastAsia="仿宋"/>
          <w:b/>
          <w:sz w:val="32"/>
          <w:szCs w:val="32"/>
        </w:rPr>
        <w:t>（二）一般公共预算财政拨款支出决算结构情况</w:t>
      </w:r>
      <w:bookmarkEnd w:id="18"/>
    </w:p>
    <w:p w14:paraId="495D0392">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w:t>
      </w:r>
      <w:r>
        <w:rPr>
          <w:rFonts w:hint="eastAsia" w:ascii="仿宋" w:hAnsi="仿宋" w:eastAsia="仿宋"/>
          <w:b/>
          <w:sz w:val="32"/>
          <w:szCs w:val="32"/>
          <w:lang w:val="en-US" w:eastAsia="zh-CN"/>
        </w:rPr>
        <w:t>237.35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164.47</w:t>
      </w:r>
      <w:r>
        <w:rPr>
          <w:rFonts w:hint="eastAsia" w:ascii="仿宋" w:hAnsi="仿宋" w:eastAsia="仿宋"/>
          <w:sz w:val="32"/>
          <w:szCs w:val="32"/>
        </w:rPr>
        <w:t>万元，占</w:t>
      </w:r>
      <w:r>
        <w:rPr>
          <w:rFonts w:hint="eastAsia" w:ascii="仿宋" w:hAnsi="仿宋" w:eastAsia="仿宋"/>
          <w:sz w:val="32"/>
          <w:szCs w:val="32"/>
          <w:lang w:val="en-US" w:eastAsia="zh-CN"/>
        </w:rPr>
        <w:t>69.3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52.3</w:t>
      </w:r>
      <w:r>
        <w:rPr>
          <w:rFonts w:hint="eastAsia" w:ascii="仿宋" w:hAnsi="仿宋" w:eastAsia="仿宋"/>
          <w:sz w:val="32"/>
          <w:szCs w:val="32"/>
        </w:rPr>
        <w:t>万元，占</w:t>
      </w:r>
      <w:r>
        <w:rPr>
          <w:rFonts w:hint="eastAsia" w:ascii="仿宋" w:hAnsi="仿宋" w:eastAsia="仿宋"/>
          <w:sz w:val="32"/>
          <w:szCs w:val="32"/>
          <w:lang w:val="en-US" w:eastAsia="zh-CN"/>
        </w:rPr>
        <w:t>22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7.25</w:t>
      </w:r>
      <w:r>
        <w:rPr>
          <w:rFonts w:hint="eastAsia" w:ascii="仿宋" w:hAnsi="仿宋" w:eastAsia="仿宋"/>
          <w:sz w:val="32"/>
          <w:szCs w:val="32"/>
        </w:rPr>
        <w:t>万元，占</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13.3</w:t>
      </w:r>
      <w:r>
        <w:rPr>
          <w:rFonts w:hint="eastAsia" w:ascii="仿宋" w:hAnsi="仿宋" w:eastAsia="仿宋"/>
          <w:sz w:val="32"/>
          <w:szCs w:val="32"/>
        </w:rPr>
        <w:t>万元，占</w:t>
      </w:r>
      <w:r>
        <w:rPr>
          <w:rFonts w:hint="eastAsia" w:ascii="仿宋" w:hAnsi="仿宋" w:eastAsia="仿宋"/>
          <w:sz w:val="32"/>
          <w:szCs w:val="32"/>
          <w:lang w:val="en-US" w:eastAsia="zh-CN"/>
        </w:rPr>
        <w:t>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color w:val="auto"/>
          <w:sz w:val="32"/>
          <w:szCs w:val="32"/>
          <w:highlight w:val="none"/>
          <w:lang w:eastAsia="zh-CN"/>
        </w:rPr>
        <w:t>农林水支出</w:t>
      </w:r>
      <w:r>
        <w:rPr>
          <w:rFonts w:hint="eastAsia" w:ascii="仿宋" w:hAnsi="仿宋" w:eastAsia="仿宋"/>
          <w:b/>
          <w:bCs/>
          <w:color w:val="auto"/>
          <w:sz w:val="32"/>
          <w:szCs w:val="32"/>
          <w:highlight w:val="none"/>
          <w:lang w:val="en-US" w:eastAsia="zh-CN"/>
        </w:rPr>
        <w:t>0.4</w:t>
      </w:r>
      <w:r>
        <w:rPr>
          <w:rFonts w:hint="eastAsia" w:ascii="仿宋" w:hAnsi="仿宋" w:eastAsia="仿宋"/>
          <w:color w:val="auto"/>
          <w:sz w:val="32"/>
          <w:szCs w:val="32"/>
          <w:highlight w:val="none"/>
          <w:lang w:val="en-US"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0.1</w:t>
      </w:r>
      <w:r>
        <w:rPr>
          <w:rFonts w:ascii="仿宋" w:hAnsi="仿宋" w:eastAsia="仿宋"/>
          <w:color w:val="auto"/>
          <w:sz w:val="32"/>
          <w:szCs w:val="32"/>
          <w:highlight w:val="none"/>
        </w:rPr>
        <w:t>%</w:t>
      </w:r>
      <w:r>
        <w:rPr>
          <w:rFonts w:hint="eastAsia" w:ascii="仿宋" w:hAnsi="仿宋" w:eastAsia="仿宋"/>
          <w:sz w:val="32"/>
          <w:szCs w:val="32"/>
        </w:rPr>
        <w:t>。</w:t>
      </w:r>
    </w:p>
    <w:p w14:paraId="03984F5B">
      <w:pPr>
        <w:pStyle w:val="2"/>
        <w:jc w:val="both"/>
      </w:pPr>
    </w:p>
    <w:p w14:paraId="5983E30D">
      <w:pPr>
        <w:bidi w:val="0"/>
      </w:pPr>
    </w:p>
    <w:p w14:paraId="358BA029">
      <w:pPr>
        <w:bidi w:val="0"/>
      </w:pPr>
    </w:p>
    <w:p w14:paraId="56BF410A">
      <w:pPr>
        <w:bidi w:val="0"/>
        <w:rPr>
          <w:rFonts w:ascii="Times New Roman" w:hAnsi="Times New Roman" w:eastAsia="宋体" w:cs="Times New Roman"/>
          <w:kern w:val="2"/>
          <w:sz w:val="21"/>
          <w:szCs w:val="24"/>
          <w:lang w:val="en-US" w:eastAsia="zh-CN" w:bidi="ar-SA"/>
        </w:rPr>
      </w:pPr>
    </w:p>
    <w:p w14:paraId="6993D2F6">
      <w:pPr>
        <w:bidi w:val="0"/>
        <w:rPr>
          <w:lang w:val="en-US" w:eastAsia="zh-CN"/>
        </w:rPr>
      </w:pPr>
    </w:p>
    <w:p w14:paraId="631692C9">
      <w:pPr>
        <w:bidi w:val="0"/>
        <w:rPr>
          <w:lang w:val="en-US" w:eastAsia="zh-CN"/>
        </w:rPr>
      </w:pPr>
    </w:p>
    <w:p w14:paraId="7851C25E">
      <w:pPr>
        <w:pStyle w:val="2"/>
        <w:rPr>
          <w:lang w:val="en-US" w:eastAsia="zh-CN"/>
        </w:rPr>
      </w:pPr>
    </w:p>
    <w:p w14:paraId="7E1F2B4F">
      <w:pPr>
        <w:pStyle w:val="3"/>
        <w:rPr>
          <w:lang w:val="en-US" w:eastAsia="zh-CN"/>
        </w:rPr>
      </w:pPr>
    </w:p>
    <w:p w14:paraId="412F967E">
      <w:pPr>
        <w:rPr>
          <w:lang w:val="en-US" w:eastAsia="zh-CN"/>
        </w:rPr>
      </w:pPr>
    </w:p>
    <w:p w14:paraId="46723129">
      <w:pPr>
        <w:pStyle w:val="2"/>
      </w:pPr>
      <w:r>
        <w:drawing>
          <wp:inline distT="0" distB="0" distL="114300" distR="114300">
            <wp:extent cx="3971925" cy="31242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3971925" cy="3124200"/>
                    </a:xfrm>
                    <a:prstGeom prst="rect">
                      <a:avLst/>
                    </a:prstGeom>
                    <a:noFill/>
                    <a:ln>
                      <a:noFill/>
                    </a:ln>
                  </pic:spPr>
                </pic:pic>
              </a:graphicData>
            </a:graphic>
          </wp:inline>
        </w:drawing>
      </w:r>
    </w:p>
    <w:p w14:paraId="37AF2AD0">
      <w:pPr>
        <w:spacing w:line="600" w:lineRule="exact"/>
        <w:ind w:firstLine="643" w:firstLineChars="200"/>
        <w:outlineLvl w:val="2"/>
        <w:rPr>
          <w:rFonts w:ascii="仿宋" w:hAnsi="仿宋" w:eastAsia="仿宋"/>
          <w:b/>
          <w:sz w:val="32"/>
          <w:szCs w:val="32"/>
        </w:rPr>
      </w:pPr>
      <w:bookmarkStart w:id="19" w:name="_Toc15377212"/>
      <w:r>
        <w:rPr>
          <w:rFonts w:hint="eastAsia" w:ascii="仿宋" w:hAnsi="仿宋" w:eastAsia="仿宋"/>
          <w:b/>
          <w:sz w:val="32"/>
          <w:szCs w:val="32"/>
        </w:rPr>
        <w:t>（三）一般公共预算财政拨款支出决算具体情况</w:t>
      </w:r>
      <w:bookmarkEnd w:id="19"/>
    </w:p>
    <w:p w14:paraId="1679B9A7">
      <w:pPr>
        <w:spacing w:line="600" w:lineRule="exact"/>
        <w:ind w:firstLine="643" w:firstLineChars="200"/>
        <w:outlineLvl w:val="2"/>
        <w:rPr>
          <w:rStyle w:val="18"/>
          <w:rFonts w:hint="eastAsia" w:ascii="仿宋" w:hAnsi="仿宋" w:eastAsia="仿宋"/>
          <w:bCs/>
          <w:sz w:val="32"/>
          <w:szCs w:val="32"/>
        </w:rPr>
      </w:pPr>
      <w:bookmarkStart w:id="20" w:name="_Toc15377213"/>
      <w:bookmarkStart w:id="21" w:name="_Toc15377444"/>
      <w:bookmarkStart w:id="22" w:name="_Toc15378460"/>
      <w:r>
        <w:rPr>
          <w:rFonts w:hint="eastAsia" w:ascii="仿宋" w:hAnsi="仿宋" w:eastAsia="仿宋"/>
          <w:b/>
          <w:sz w:val="32"/>
          <w:szCs w:val="32"/>
        </w:rPr>
        <w:t>2023年度一般公共预算支出决算数为</w:t>
      </w:r>
      <w:r>
        <w:rPr>
          <w:rFonts w:hint="eastAsia" w:ascii="仿宋" w:hAnsi="仿宋" w:eastAsia="仿宋"/>
          <w:b/>
          <w:sz w:val="32"/>
          <w:szCs w:val="32"/>
          <w:lang w:val="en-US" w:eastAsia="zh-CN"/>
        </w:rPr>
        <w:t>237.35</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20"/>
      <w:bookmarkEnd w:id="21"/>
      <w:bookmarkEnd w:id="22"/>
    </w:p>
    <w:p w14:paraId="04F1ADAE">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1.</w:t>
      </w:r>
      <w:r>
        <w:rPr>
          <w:rStyle w:val="18"/>
          <w:rFonts w:hint="eastAsia" w:ascii="仿宋" w:hAnsi="仿宋" w:eastAsia="仿宋"/>
          <w:bCs/>
          <w:color w:val="000000"/>
          <w:sz w:val="32"/>
          <w:szCs w:val="32"/>
        </w:rPr>
        <w:t>教育支出（类）普通教育（款）小学教育（项）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164.47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76AF5D1">
      <w:pPr>
        <w:numPr>
          <w:ilvl w:val="0"/>
          <w:numId w:val="0"/>
        </w:numPr>
        <w:spacing w:line="600" w:lineRule="exact"/>
        <w:ind w:firstLine="643" w:firstLineChars="200"/>
        <w:rPr>
          <w:rFonts w:hint="default" w:eastAsia="仿宋"/>
          <w:lang w:val="en-US" w:eastAsia="zh-CN"/>
        </w:rPr>
      </w:pPr>
      <w:r>
        <w:rPr>
          <w:rStyle w:val="18"/>
          <w:rFonts w:hint="eastAsia" w:ascii="仿宋" w:hAnsi="仿宋" w:eastAsia="仿宋"/>
          <w:bCs/>
          <w:color w:val="000000"/>
          <w:sz w:val="32"/>
          <w:szCs w:val="32"/>
          <w:lang w:val="en-US" w:eastAsia="zh-CN"/>
        </w:rPr>
        <w:t>2.</w:t>
      </w:r>
      <w:r>
        <w:rPr>
          <w:rStyle w:val="18"/>
          <w:rFonts w:hint="eastAsia" w:ascii="仿宋" w:hAnsi="仿宋" w:eastAsia="仿宋"/>
          <w:bCs/>
          <w:color w:val="000000"/>
          <w:sz w:val="32"/>
          <w:szCs w:val="32"/>
        </w:rPr>
        <w:t>社会保障和就业支出（类）行政事业单位养老支出（款）事业单位离退休（项）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27.82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与预算数持平。</w:t>
      </w:r>
    </w:p>
    <w:p w14:paraId="3A6E1857">
      <w:pPr>
        <w:numPr>
          <w:ilvl w:val="0"/>
          <w:numId w:val="0"/>
        </w:num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lang w:val="en-US" w:eastAsia="zh-CN"/>
        </w:rPr>
        <w:t>3.</w:t>
      </w:r>
      <w:r>
        <w:rPr>
          <w:rStyle w:val="18"/>
          <w:rFonts w:hint="eastAsia" w:ascii="仿宋" w:hAnsi="仿宋" w:eastAsia="仿宋"/>
          <w:bCs/>
          <w:color w:val="000000"/>
          <w:sz w:val="32"/>
          <w:szCs w:val="32"/>
        </w:rPr>
        <w:t>社会保障和就业支出（类）行政事业单位养老支出（款）机关事业单位基本养老保险缴费支出（项）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17.57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与预算数持平。</w:t>
      </w:r>
    </w:p>
    <w:p w14:paraId="7E953654">
      <w:p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lang w:val="en-US" w:eastAsia="zh-CN"/>
        </w:rPr>
        <w:t>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社会保障和就业支出（类）抚恤（款）</w:t>
      </w:r>
      <w:r>
        <w:rPr>
          <w:rStyle w:val="18"/>
          <w:rFonts w:hint="eastAsia" w:ascii="仿宋" w:hAnsi="仿宋" w:eastAsia="仿宋"/>
          <w:bCs/>
          <w:color w:val="000000"/>
          <w:sz w:val="32"/>
          <w:szCs w:val="32"/>
          <w:lang w:eastAsia="zh-CN"/>
        </w:rPr>
        <w:t>死亡抚恤</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3.78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与预算数持平。</w:t>
      </w:r>
    </w:p>
    <w:p w14:paraId="3F85B2FA">
      <w:pPr>
        <w:pStyle w:val="2"/>
        <w:ind w:firstLine="643" w:firstLineChars="200"/>
        <w:jc w:val="left"/>
        <w:rPr>
          <w:rFonts w:hint="eastAsia"/>
          <w:lang w:eastAsia="zh-CN"/>
        </w:rPr>
      </w:pPr>
      <w:r>
        <w:rPr>
          <w:rStyle w:val="18"/>
          <w:rFonts w:hint="eastAsia" w:ascii="仿宋" w:hAnsi="仿宋" w:eastAsia="仿宋"/>
          <w:bCs/>
          <w:color w:val="000000"/>
          <w:sz w:val="32"/>
          <w:szCs w:val="32"/>
          <w:lang w:val="en-US" w:eastAsia="zh-CN"/>
        </w:rPr>
        <w:t>5</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社会保障和就业支出（类）其他社会保障和就业支出（款）</w:t>
      </w:r>
      <w:r>
        <w:rPr>
          <w:rStyle w:val="18"/>
          <w:rFonts w:hint="eastAsia" w:ascii="仿宋" w:hAnsi="仿宋" w:eastAsia="仿宋"/>
          <w:bCs/>
          <w:color w:val="000000"/>
          <w:sz w:val="32"/>
          <w:szCs w:val="32"/>
          <w:lang w:eastAsia="zh-CN"/>
        </w:rPr>
        <w:t>其他社会保障和就业支出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3.13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与预算数持平。</w:t>
      </w:r>
    </w:p>
    <w:p w14:paraId="7BEC8CFC">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（类）行政事业单位医疗（款）事业单位医疗（项）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5.86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与预算数持平</w:t>
      </w:r>
      <w:r>
        <w:rPr>
          <w:rStyle w:val="18"/>
          <w:rFonts w:hint="eastAsia" w:ascii="仿宋" w:hAnsi="仿宋" w:eastAsia="仿宋"/>
          <w:b w:val="0"/>
          <w:bCs/>
          <w:color w:val="auto"/>
          <w:sz w:val="32"/>
          <w:szCs w:val="32"/>
          <w:highlight w:val="none"/>
        </w:rPr>
        <w:t>。</w:t>
      </w:r>
    </w:p>
    <w:p w14:paraId="759F1AF5">
      <w:pPr>
        <w:pStyle w:val="2"/>
        <w:jc w:val="left"/>
      </w:pPr>
      <w:r>
        <w:rPr>
          <w:rStyle w:val="18"/>
          <w:rFonts w:hint="eastAsia" w:ascii="仿宋" w:hAnsi="仿宋" w:eastAsia="仿宋"/>
          <w:bCs/>
          <w:color w:val="auto"/>
          <w:sz w:val="32"/>
          <w:szCs w:val="32"/>
          <w:highlight w:val="none"/>
          <w:lang w:val="en-US" w:eastAsia="zh-CN"/>
        </w:rPr>
        <w:t xml:space="preserve">    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（类）行政事业单位医疗（款）其他行政事业单位医疗支出（项）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val="en-US" w:eastAsia="zh-CN"/>
        </w:rPr>
        <w:t>与预算数持平</w:t>
      </w:r>
      <w:r>
        <w:rPr>
          <w:rStyle w:val="18"/>
          <w:rFonts w:hint="eastAsia" w:ascii="仿宋" w:hAnsi="仿宋" w:eastAsia="仿宋"/>
          <w:b w:val="0"/>
          <w:bCs/>
          <w:color w:val="auto"/>
          <w:sz w:val="32"/>
          <w:szCs w:val="32"/>
          <w:highlight w:val="none"/>
        </w:rPr>
        <w:t>。</w:t>
      </w:r>
    </w:p>
    <w:p w14:paraId="680A61E7">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8</w:t>
      </w:r>
      <w:r>
        <w:rPr>
          <w:rStyle w:val="18"/>
          <w:rFonts w:ascii="仿宋" w:hAnsi="仿宋" w:eastAsia="仿宋"/>
          <w:bCs/>
          <w:color w:val="000000"/>
          <w:sz w:val="32"/>
          <w:szCs w:val="32"/>
        </w:rPr>
        <w:t>.</w:t>
      </w:r>
      <w:r>
        <w:rPr>
          <w:rFonts w:hint="eastAsia" w:ascii="仿宋" w:hAnsi="仿宋" w:eastAsia="仿宋"/>
          <w:b/>
          <w:bCs/>
          <w:color w:val="000000"/>
          <w:sz w:val="32"/>
          <w:szCs w:val="32"/>
          <w:lang w:eastAsia="zh-CN"/>
        </w:rPr>
        <w:t>农林水</w:t>
      </w:r>
      <w:r>
        <w:rPr>
          <w:rFonts w:hint="eastAsia" w:ascii="仿宋" w:hAnsi="仿宋" w:eastAsia="仿宋"/>
          <w:b/>
          <w:bCs/>
          <w:color w:val="000000"/>
          <w:sz w:val="32"/>
          <w:szCs w:val="32"/>
        </w:rPr>
        <w:t>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eastAsia="zh-CN"/>
        </w:rPr>
        <w:t>巩固脱贫衔接乡村振兴</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eastAsia="zh-CN"/>
        </w:rPr>
        <w:t>社会发展</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0.04</w:t>
      </w:r>
      <w:r>
        <w:rPr>
          <w:rStyle w:val="18"/>
          <w:rFonts w:hint="eastAsia" w:ascii="仿宋" w:hAnsi="仿宋" w:eastAsia="仿宋"/>
          <w:b w:val="0"/>
          <w:bCs/>
          <w:color w:val="000000"/>
          <w:sz w:val="32"/>
          <w:szCs w:val="32"/>
        </w:rPr>
        <w:t>万元</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与预算数持平</w:t>
      </w:r>
      <w:r>
        <w:rPr>
          <w:rStyle w:val="18"/>
          <w:rFonts w:hint="eastAsia" w:ascii="仿宋" w:hAnsi="仿宋" w:eastAsia="仿宋"/>
          <w:b w:val="0"/>
          <w:bCs/>
          <w:color w:val="000000"/>
          <w:sz w:val="32"/>
          <w:szCs w:val="32"/>
        </w:rPr>
        <w:t>。</w:t>
      </w:r>
    </w:p>
    <w:p w14:paraId="3CEB5B5D">
      <w:pPr>
        <w:spacing w:line="600" w:lineRule="exact"/>
        <w:ind w:firstLine="643" w:firstLineChars="200"/>
        <w:rPr>
          <w:rFonts w:ascii="仿宋" w:hAnsi="仿宋" w:eastAsia="仿宋"/>
          <w:b/>
          <w:sz w:val="32"/>
          <w:szCs w:val="32"/>
        </w:rPr>
      </w:pPr>
      <w:r>
        <w:rPr>
          <w:rStyle w:val="18"/>
          <w:rFonts w:hint="eastAsia" w:ascii="仿宋" w:hAnsi="仿宋" w:eastAsia="仿宋"/>
          <w:bCs/>
          <w:color w:val="000000"/>
          <w:sz w:val="32"/>
          <w:szCs w:val="32"/>
          <w:lang w:val="en-US" w:eastAsia="zh-CN"/>
        </w:rPr>
        <w:t>9</w:t>
      </w:r>
      <w:r>
        <w:rPr>
          <w:rStyle w:val="18"/>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8"/>
          <w:rFonts w:hint="eastAsia" w:ascii="仿宋" w:hAnsi="仿宋" w:eastAsia="仿宋"/>
          <w:bCs/>
          <w:color w:val="000000"/>
          <w:sz w:val="32"/>
          <w:szCs w:val="32"/>
        </w:rPr>
        <w:t>（类）住房改革支出（款）住房公积金（项）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13.3</w:t>
      </w:r>
      <w:r>
        <w:rPr>
          <w:rStyle w:val="18"/>
          <w:rFonts w:hint="eastAsia" w:ascii="仿宋" w:hAnsi="仿宋" w:eastAsia="仿宋"/>
          <w:b w:val="0"/>
          <w:bCs/>
          <w:color w:val="000000"/>
          <w:sz w:val="32"/>
          <w:szCs w:val="32"/>
        </w:rPr>
        <w:t>万元</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与预算数持平</w:t>
      </w:r>
      <w:r>
        <w:rPr>
          <w:rStyle w:val="18"/>
          <w:rFonts w:hint="eastAsia" w:ascii="仿宋" w:hAnsi="仿宋" w:eastAsia="仿宋"/>
          <w:b w:val="0"/>
          <w:bCs/>
          <w:color w:val="000000"/>
          <w:sz w:val="32"/>
          <w:szCs w:val="32"/>
        </w:rPr>
        <w:t>。</w:t>
      </w:r>
    </w:p>
    <w:p w14:paraId="35812CB3">
      <w:pPr>
        <w:tabs>
          <w:tab w:val="right" w:pos="8306"/>
        </w:tabs>
        <w:spacing w:line="600" w:lineRule="exact"/>
        <w:ind w:firstLine="640"/>
        <w:outlineLvl w:val="1"/>
        <w:rPr>
          <w:rStyle w:val="30"/>
        </w:rPr>
      </w:pPr>
      <w:bookmarkStart w:id="23" w:name="_Toc15377214"/>
      <w:bookmarkStart w:id="2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23"/>
      <w:bookmarkEnd w:id="24"/>
      <w:r>
        <w:rPr>
          <w:rStyle w:val="30"/>
          <w:rFonts w:ascii="黑体" w:hAnsi="黑体" w:eastAsia="黑体"/>
          <w:b w:val="0"/>
        </w:rPr>
        <w:tab/>
      </w:r>
    </w:p>
    <w:p w14:paraId="092BB31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hint="eastAsia" w:ascii="仿宋" w:hAnsi="仿宋" w:eastAsia="仿宋"/>
          <w:b/>
          <w:sz w:val="32"/>
          <w:szCs w:val="32"/>
          <w:lang w:val="en-US" w:eastAsia="zh-CN"/>
        </w:rPr>
        <w:t>237.31</w:t>
      </w:r>
      <w:r>
        <w:rPr>
          <w:rFonts w:hint="eastAsia" w:ascii="仿宋" w:hAnsi="仿宋" w:eastAsia="仿宋"/>
          <w:sz w:val="32"/>
          <w:szCs w:val="32"/>
        </w:rPr>
        <w:t>万元，其中：</w:t>
      </w:r>
    </w:p>
    <w:p w14:paraId="298E6968">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231.51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 w:hAnsi="仿宋" w:eastAsia="仿宋"/>
          <w:sz w:val="32"/>
          <w:szCs w:val="32"/>
        </w:rPr>
        <w:t>公用经费</w:t>
      </w:r>
      <w:r>
        <w:rPr>
          <w:rFonts w:hint="eastAsia" w:ascii="仿宋" w:hAnsi="仿宋" w:eastAsia="仿宋"/>
          <w:b/>
          <w:sz w:val="32"/>
          <w:szCs w:val="32"/>
          <w:lang w:val="en-US" w:eastAsia="zh-CN"/>
        </w:rPr>
        <w:t>5.8</w:t>
      </w:r>
      <w:r>
        <w:rPr>
          <w:rFonts w:hint="eastAsia" w:ascii="仿宋" w:hAnsi="仿宋" w:eastAsia="仿宋"/>
          <w:sz w:val="32"/>
          <w:szCs w:val="32"/>
        </w:rPr>
        <w:t>万元，主要包括</w:t>
      </w:r>
      <w:r>
        <w:rPr>
          <w:rFonts w:hint="eastAsia" w:ascii="仿宋" w:hAnsi="仿宋" w:eastAsia="仿宋"/>
          <w:sz w:val="32"/>
          <w:szCs w:val="32"/>
          <w:lang w:eastAsia="zh-CN"/>
        </w:rPr>
        <w:t>：</w:t>
      </w:r>
      <w:r>
        <w:rPr>
          <w:rFonts w:hint="eastAsia" w:ascii="仿宋" w:hAnsi="仿宋" w:eastAsia="仿宋"/>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5EF701D">
      <w:pPr>
        <w:spacing w:line="600" w:lineRule="exact"/>
        <w:ind w:firstLine="640"/>
        <w:outlineLvl w:val="1"/>
        <w:rPr>
          <w:rStyle w:val="30"/>
          <w:rFonts w:ascii="黑体" w:hAnsi="黑体" w:eastAsia="黑体"/>
          <w:b w:val="0"/>
        </w:rPr>
      </w:pPr>
      <w:bookmarkStart w:id="25" w:name="_Toc15396609"/>
      <w:bookmarkStart w:id="26"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25"/>
      <w:bookmarkEnd w:id="26"/>
    </w:p>
    <w:p w14:paraId="0A7F5A0B">
      <w:pPr>
        <w:spacing w:line="600" w:lineRule="exact"/>
        <w:ind w:firstLine="640"/>
        <w:outlineLvl w:val="2"/>
        <w:rPr>
          <w:rFonts w:ascii="仿宋" w:hAnsi="仿宋" w:eastAsia="仿宋"/>
          <w:b/>
          <w:sz w:val="32"/>
          <w:szCs w:val="32"/>
        </w:rPr>
      </w:pPr>
      <w:bookmarkStart w:id="27" w:name="_Toc15377216"/>
      <w:r>
        <w:rPr>
          <w:rFonts w:hint="eastAsia" w:ascii="仿宋" w:hAnsi="仿宋" w:eastAsia="仿宋"/>
          <w:b/>
          <w:sz w:val="32"/>
          <w:szCs w:val="32"/>
        </w:rPr>
        <w:t>（一）“三公”经费财政拨款支出决算总体情况说明</w:t>
      </w:r>
      <w:bookmarkEnd w:id="27"/>
    </w:p>
    <w:p w14:paraId="17D92B15">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hint="eastAsia" w:ascii="仿宋" w:hAnsi="仿宋" w:eastAsia="仿宋"/>
          <w:b/>
          <w:sz w:val="32"/>
          <w:szCs w:val="32"/>
          <w:lang w:val="en-US" w:eastAsia="zh-CN"/>
        </w:rPr>
        <w:t>0</w:t>
      </w:r>
      <w:r>
        <w:rPr>
          <w:rFonts w:hint="eastAsia" w:ascii="仿宋" w:hAnsi="仿宋" w:eastAsia="仿宋"/>
          <w:sz w:val="32"/>
          <w:szCs w:val="32"/>
        </w:rPr>
        <w:t>万元，完成预算</w:t>
      </w:r>
      <w:r>
        <w:rPr>
          <w:rFonts w:hint="eastAsia" w:ascii="仿宋" w:hAnsi="仿宋" w:eastAsia="仿宋"/>
          <w:b/>
          <w:sz w:val="32"/>
          <w:szCs w:val="32"/>
          <w:lang w:val="en-US" w:eastAsia="zh-CN"/>
        </w:rPr>
        <w:t>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100</w:t>
      </w:r>
      <w:r>
        <w:rPr>
          <w:rFonts w:hint="eastAsia" w:ascii="仿宋" w:hAnsi="仿宋" w:eastAsia="仿宋"/>
          <w:sz w:val="32"/>
          <w:szCs w:val="32"/>
        </w:rPr>
        <w:t>%。决算数小于预算数的主要原因是</w:t>
      </w:r>
      <w:r>
        <w:rPr>
          <w:rFonts w:hint="eastAsia" w:ascii="仿宋" w:hAnsi="仿宋" w:eastAsia="仿宋"/>
          <w:color w:val="000000"/>
          <w:sz w:val="32"/>
          <w:szCs w:val="32"/>
        </w:rPr>
        <w:t>压减支出规范管理</w:t>
      </w:r>
      <w:r>
        <w:rPr>
          <w:rFonts w:hint="eastAsia" w:ascii="仿宋" w:hAnsi="仿宋" w:eastAsia="仿宋"/>
          <w:sz w:val="32"/>
          <w:szCs w:val="32"/>
        </w:rPr>
        <w:t>。</w:t>
      </w:r>
    </w:p>
    <w:p w14:paraId="1165C941">
      <w:pPr>
        <w:spacing w:line="600" w:lineRule="exact"/>
        <w:ind w:firstLine="640"/>
        <w:outlineLvl w:val="2"/>
        <w:rPr>
          <w:rFonts w:ascii="仿宋" w:hAnsi="仿宋" w:eastAsia="仿宋"/>
          <w:b/>
          <w:sz w:val="32"/>
          <w:szCs w:val="32"/>
        </w:rPr>
      </w:pPr>
      <w:bookmarkStart w:id="28" w:name="_Toc15377217"/>
      <w:r>
        <w:rPr>
          <w:rFonts w:hint="eastAsia" w:ascii="仿宋" w:hAnsi="仿宋" w:eastAsia="仿宋"/>
          <w:b/>
          <w:sz w:val="32"/>
          <w:szCs w:val="32"/>
        </w:rPr>
        <w:t>（二）“三公”经费财政拨款支出决算具体情况说明</w:t>
      </w:r>
      <w:bookmarkEnd w:id="28"/>
    </w:p>
    <w:p w14:paraId="53B3931B">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14:paraId="24201F1E">
      <w:pPr>
        <w:pStyle w:val="2"/>
        <w:rPr>
          <w:rFonts w:hint="eastAsia" w:ascii="仿宋" w:hAnsi="仿宋" w:eastAsia="仿宋"/>
          <w:sz w:val="32"/>
          <w:szCs w:val="32"/>
        </w:rPr>
      </w:pPr>
    </w:p>
    <w:p w14:paraId="33CE1997">
      <w:pPr>
        <w:pStyle w:val="3"/>
        <w:jc w:val="both"/>
        <w:rPr>
          <w:rFonts w:hint="eastAsia" w:ascii="仿宋" w:hAnsi="仿宋" w:eastAsia="仿宋"/>
          <w:sz w:val="32"/>
          <w:szCs w:val="32"/>
        </w:rPr>
      </w:pPr>
    </w:p>
    <w:p w14:paraId="4934F736">
      <w:pPr>
        <w:pStyle w:val="2"/>
        <w:jc w:val="both"/>
      </w:pPr>
      <w:r>
        <w:drawing>
          <wp:inline distT="0" distB="0" distL="114300" distR="114300">
            <wp:extent cx="3219450" cy="2171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219450" cy="2171700"/>
                    </a:xfrm>
                    <a:prstGeom prst="rect">
                      <a:avLst/>
                    </a:prstGeom>
                    <a:noFill/>
                    <a:ln>
                      <a:noFill/>
                    </a:ln>
                  </pic:spPr>
                </pic:pic>
              </a:graphicData>
            </a:graphic>
          </wp:inline>
        </w:drawing>
      </w:r>
    </w:p>
    <w:p w14:paraId="6EA6EC8E">
      <w:pPr>
        <w:numPr>
          <w:ilvl w:val="0"/>
          <w:numId w:val="3"/>
        </w:numPr>
        <w:spacing w:line="600" w:lineRule="exact"/>
        <w:ind w:firstLine="640"/>
        <w:rPr>
          <w:rFonts w:hint="eastAsia" w:ascii="仿宋" w:hAnsi="仿宋" w:eastAsia="仿宋" w:cs="仿宋"/>
          <w:sz w:val="32"/>
          <w:szCs w:val="32"/>
        </w:rPr>
      </w:pPr>
      <w:bookmarkStart w:id="29" w:name="_Toc15396610"/>
      <w:bookmarkStart w:id="30" w:name="_Toc15377218"/>
      <w:r>
        <w:rPr>
          <w:rFonts w:hint="eastAsia" w:ascii="仿宋" w:hAnsi="仿宋" w:eastAsia="仿宋" w:cs="仿宋"/>
          <w:b/>
          <w:sz w:val="32"/>
          <w:szCs w:val="32"/>
        </w:rPr>
        <w:t>因公出国（境）经费支出0</w:t>
      </w:r>
      <w:r>
        <w:rPr>
          <w:rFonts w:hint="eastAsia" w:ascii="仿宋" w:hAnsi="仿宋" w:eastAsia="仿宋" w:cs="仿宋"/>
          <w:sz w:val="32"/>
          <w:szCs w:val="32"/>
        </w:rPr>
        <w:t>万元，</w:t>
      </w:r>
      <w:r>
        <w:rPr>
          <w:rStyle w:val="18"/>
          <w:rFonts w:hint="eastAsia" w:ascii="仿宋" w:hAnsi="仿宋" w:eastAsia="仿宋" w:cs="仿宋"/>
          <w:b w:val="0"/>
          <w:bCs/>
          <w:sz w:val="32"/>
          <w:szCs w:val="32"/>
        </w:rPr>
        <w:t>完成预算</w:t>
      </w:r>
      <w:r>
        <w:rPr>
          <w:rStyle w:val="18"/>
          <w:rFonts w:hint="eastAsia" w:ascii="仿宋" w:hAnsi="仿宋" w:eastAsia="仿宋" w:cs="仿宋"/>
          <w:bCs/>
          <w:sz w:val="32"/>
          <w:szCs w:val="32"/>
        </w:rPr>
        <w:t>0</w:t>
      </w:r>
      <w:r>
        <w:rPr>
          <w:rStyle w:val="18"/>
          <w:rFonts w:hint="eastAsia" w:ascii="仿宋" w:hAnsi="仿宋" w:eastAsia="仿宋" w:cs="仿宋"/>
          <w:b w:val="0"/>
          <w:bCs/>
          <w:sz w:val="32"/>
          <w:szCs w:val="32"/>
        </w:rPr>
        <w:t>%。</w:t>
      </w:r>
      <w:r>
        <w:rPr>
          <w:rFonts w:hint="eastAsia" w:ascii="仿宋" w:hAnsi="仿宋" w:eastAsia="仿宋" w:cs="仿宋"/>
          <w:sz w:val="32"/>
          <w:szCs w:val="32"/>
        </w:rPr>
        <w:t>全年安排因公出国（境）团组</w:t>
      </w:r>
      <w:r>
        <w:rPr>
          <w:rFonts w:hint="eastAsia" w:ascii="仿宋" w:hAnsi="仿宋" w:eastAsia="仿宋" w:cs="仿宋"/>
          <w:b/>
          <w:sz w:val="32"/>
          <w:szCs w:val="32"/>
        </w:rPr>
        <w:t>0</w:t>
      </w:r>
      <w:r>
        <w:rPr>
          <w:rFonts w:hint="eastAsia" w:ascii="仿宋" w:hAnsi="仿宋" w:eastAsia="仿宋" w:cs="仿宋"/>
          <w:sz w:val="32"/>
          <w:szCs w:val="32"/>
        </w:rPr>
        <w:t>次，出国（境）</w:t>
      </w:r>
      <w:r>
        <w:rPr>
          <w:rFonts w:hint="eastAsia" w:ascii="仿宋" w:hAnsi="仿宋" w:eastAsia="仿宋" w:cs="仿宋"/>
          <w:b/>
          <w:sz w:val="32"/>
          <w:szCs w:val="32"/>
        </w:rPr>
        <w:t>0</w:t>
      </w:r>
      <w:r>
        <w:rPr>
          <w:rFonts w:hint="eastAsia" w:ascii="仿宋" w:hAnsi="仿宋" w:eastAsia="仿宋" w:cs="仿宋"/>
          <w:sz w:val="32"/>
          <w:szCs w:val="32"/>
        </w:rPr>
        <w:t>人。因公出国（境）支出决算比2022年增加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60CF9C6E">
      <w:pPr>
        <w:numPr>
          <w:ilvl w:val="0"/>
          <w:numId w:val="0"/>
        </w:numPr>
        <w:spacing w:line="600" w:lineRule="exact"/>
        <w:ind w:firstLine="321" w:firstLineChars="100"/>
        <w:rPr>
          <w:rFonts w:hint="eastAsia" w:ascii="仿宋" w:hAnsi="仿宋" w:eastAsia="仿宋" w:cs="仿宋"/>
          <w:b/>
          <w:sz w:val="32"/>
          <w:szCs w:val="32"/>
        </w:rPr>
      </w:pPr>
      <w:r>
        <w:rPr>
          <w:rFonts w:hint="eastAsia" w:ascii="仿宋" w:hAnsi="仿宋" w:eastAsia="仿宋" w:cs="仿宋"/>
          <w:b/>
          <w:sz w:val="32"/>
          <w:szCs w:val="32"/>
        </w:rPr>
        <w:t>2.公务用车购置及运行维护费支出0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Style w:val="18"/>
          <w:rFonts w:hint="eastAsia" w:ascii="仿宋" w:hAnsi="仿宋" w:eastAsia="仿宋" w:cs="仿宋"/>
          <w:b w:val="0"/>
          <w:bCs/>
          <w:sz w:val="32"/>
          <w:szCs w:val="32"/>
        </w:rPr>
        <w:t>完成预算</w:t>
      </w:r>
      <w:r>
        <w:rPr>
          <w:rStyle w:val="18"/>
          <w:rFonts w:hint="eastAsia" w:ascii="仿宋" w:hAnsi="仿宋" w:eastAsia="仿宋" w:cs="仿宋"/>
          <w:bCs/>
          <w:sz w:val="32"/>
          <w:szCs w:val="32"/>
        </w:rPr>
        <w:t>0</w:t>
      </w:r>
      <w:r>
        <w:rPr>
          <w:rStyle w:val="18"/>
          <w:rFonts w:hint="eastAsia" w:ascii="仿宋" w:hAnsi="仿宋" w:eastAsia="仿宋" w:cs="仿宋"/>
          <w:b w:val="0"/>
          <w:bCs/>
          <w:sz w:val="32"/>
          <w:szCs w:val="32"/>
        </w:rPr>
        <w:t>%。</w:t>
      </w:r>
      <w:r>
        <w:rPr>
          <w:rFonts w:hint="eastAsia" w:ascii="仿宋" w:hAnsi="仿宋" w:eastAsia="仿宋" w:cs="仿宋"/>
          <w:sz w:val="32"/>
          <w:szCs w:val="32"/>
        </w:rPr>
        <w:t>公务用车购置及运行维护费支出决算比2022年度增加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68353E45">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公务用车购置支出0</w:t>
      </w:r>
      <w:r>
        <w:rPr>
          <w:rFonts w:hint="eastAsia" w:ascii="仿宋" w:hAnsi="仿宋" w:eastAsia="仿宋" w:cs="仿宋"/>
          <w:sz w:val="32"/>
          <w:szCs w:val="32"/>
        </w:rPr>
        <w:t>万元。全年按规定更新购置公务用车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万元。截至2023年12月31日，单位共有公务用车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14:paraId="457CAA21">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公务用车运行维护费支出0</w:t>
      </w:r>
      <w:r>
        <w:rPr>
          <w:rFonts w:hint="eastAsia" w:ascii="仿宋" w:hAnsi="仿宋" w:eastAsia="仿宋" w:cs="仿宋"/>
          <w:sz w:val="32"/>
          <w:szCs w:val="32"/>
        </w:rPr>
        <w:t>万元。</w:t>
      </w:r>
    </w:p>
    <w:p w14:paraId="4C868F78">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3.公务接待费支出0</w:t>
      </w:r>
      <w:r>
        <w:rPr>
          <w:rFonts w:hint="eastAsia" w:ascii="仿宋" w:hAnsi="仿宋" w:eastAsia="仿宋" w:cs="仿宋"/>
          <w:sz w:val="32"/>
          <w:szCs w:val="32"/>
        </w:rPr>
        <w:t>万元，</w:t>
      </w:r>
      <w:r>
        <w:rPr>
          <w:rStyle w:val="18"/>
          <w:rFonts w:hint="eastAsia" w:ascii="仿宋" w:hAnsi="仿宋" w:eastAsia="仿宋" w:cs="仿宋"/>
          <w:b w:val="0"/>
          <w:bCs/>
          <w:sz w:val="32"/>
          <w:szCs w:val="32"/>
        </w:rPr>
        <w:t>完成预算</w:t>
      </w:r>
      <w:r>
        <w:rPr>
          <w:rStyle w:val="18"/>
          <w:rFonts w:hint="eastAsia" w:ascii="仿宋" w:hAnsi="仿宋" w:eastAsia="仿宋" w:cs="仿宋"/>
          <w:b w:val="0"/>
          <w:bCs/>
          <w:sz w:val="32"/>
          <w:szCs w:val="32"/>
          <w:lang w:val="en-US" w:eastAsia="zh-CN"/>
        </w:rPr>
        <w:t>0</w:t>
      </w:r>
      <w:r>
        <w:rPr>
          <w:rStyle w:val="18"/>
          <w:rFonts w:hint="eastAsia" w:ascii="仿宋" w:hAnsi="仿宋" w:eastAsia="仿宋" w:cs="仿宋"/>
          <w:b w:val="0"/>
          <w:bCs/>
          <w:sz w:val="32"/>
          <w:szCs w:val="32"/>
        </w:rPr>
        <w:t>%。</w:t>
      </w:r>
      <w:r>
        <w:rPr>
          <w:rFonts w:hint="eastAsia" w:ascii="仿宋" w:hAnsi="仿宋" w:eastAsia="仿宋" w:cs="仿宋"/>
          <w:sz w:val="32"/>
          <w:szCs w:val="32"/>
        </w:rPr>
        <w:t>公务接待费支出决算比2022年度</w:t>
      </w:r>
      <w:r>
        <w:rPr>
          <w:rFonts w:hint="eastAsia" w:ascii="仿宋" w:hAnsi="仿宋" w:eastAsia="仿宋" w:cs="仿宋"/>
          <w:sz w:val="32"/>
          <w:szCs w:val="32"/>
          <w:lang w:val="en-US" w:eastAsia="zh-CN"/>
        </w:rPr>
        <w:t>减少0.1</w:t>
      </w:r>
      <w:r>
        <w:rPr>
          <w:rFonts w:hint="eastAsia" w:ascii="仿宋" w:hAnsi="仿宋" w:eastAsia="仿宋" w:cs="仿宋"/>
          <w:sz w:val="32"/>
          <w:szCs w:val="32"/>
        </w:rPr>
        <w:t>万元，下降</w:t>
      </w:r>
      <w:r>
        <w:rPr>
          <w:rFonts w:hint="eastAsia" w:ascii="仿宋" w:hAnsi="仿宋" w:eastAsia="仿宋" w:cs="仿宋"/>
          <w:sz w:val="32"/>
          <w:szCs w:val="32"/>
          <w:lang w:val="en-US" w:eastAsia="zh-CN"/>
        </w:rPr>
        <w:t>100</w:t>
      </w:r>
      <w:r>
        <w:rPr>
          <w:rFonts w:hint="eastAsia" w:ascii="仿宋" w:hAnsi="仿宋" w:eastAsia="仿宋" w:cs="仿宋"/>
          <w:sz w:val="32"/>
          <w:szCs w:val="32"/>
        </w:rPr>
        <w:t>%。主要原因是</w:t>
      </w:r>
      <w:r>
        <w:rPr>
          <w:rFonts w:hint="eastAsia" w:ascii="仿宋" w:hAnsi="仿宋" w:eastAsia="仿宋" w:cs="仿宋"/>
          <w:color w:val="000000"/>
          <w:sz w:val="32"/>
          <w:szCs w:val="32"/>
        </w:rPr>
        <w:t>压减支出规范管理</w:t>
      </w:r>
      <w:r>
        <w:rPr>
          <w:rFonts w:hint="eastAsia" w:ascii="仿宋" w:hAnsi="仿宋" w:eastAsia="仿宋" w:cs="仿宋"/>
          <w:sz w:val="32"/>
          <w:szCs w:val="32"/>
        </w:rPr>
        <w:t>。其中：</w:t>
      </w:r>
    </w:p>
    <w:p w14:paraId="753755D8">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b/>
          <w:sz w:val="32"/>
          <w:szCs w:val="32"/>
          <w:lang w:val="en-US" w:eastAsia="zh-CN"/>
        </w:rPr>
        <w:t>0</w:t>
      </w:r>
      <w:r>
        <w:rPr>
          <w:rFonts w:hint="eastAsia" w:ascii="仿宋" w:hAnsi="仿宋" w:eastAsia="仿宋" w:cs="仿宋"/>
          <w:sz w:val="32"/>
          <w:szCs w:val="32"/>
        </w:rPr>
        <w:t>万元，主要用于执行公务、开展业务活动开支的交通费、住宿费、用餐费等</w:t>
      </w:r>
      <w:r>
        <w:rPr>
          <w:rFonts w:hint="eastAsia" w:ascii="仿宋" w:hAnsi="仿宋" w:eastAsia="仿宋" w:cs="仿宋"/>
          <w:sz w:val="32"/>
          <w:szCs w:val="32"/>
          <w:lang w:eastAsia="zh-CN"/>
        </w:rPr>
        <w:t>）、</w:t>
      </w:r>
      <w:r>
        <w:rPr>
          <w:rFonts w:hint="eastAsia" w:ascii="仿宋" w:hAnsi="仿宋" w:eastAsia="仿宋" w:cs="仿宋"/>
          <w:sz w:val="32"/>
          <w:szCs w:val="32"/>
        </w:rPr>
        <w:t>国内公务接待</w:t>
      </w:r>
      <w:r>
        <w:rPr>
          <w:rFonts w:hint="eastAsia" w:ascii="仿宋" w:hAnsi="仿宋" w:eastAsia="仿宋" w:cs="仿宋"/>
          <w:sz w:val="32"/>
          <w:szCs w:val="32"/>
          <w:lang w:val="en-US" w:eastAsia="zh-CN"/>
        </w:rPr>
        <w:t>0</w:t>
      </w:r>
      <w:r>
        <w:rPr>
          <w:rFonts w:hint="eastAsia" w:ascii="仿宋" w:hAnsi="仿宋" w:eastAsia="仿宋" w:cs="仿宋"/>
          <w:sz w:val="32"/>
          <w:szCs w:val="32"/>
        </w:rPr>
        <w:t>批次，</w:t>
      </w:r>
      <w:r>
        <w:rPr>
          <w:rFonts w:hint="eastAsia" w:ascii="仿宋" w:hAnsi="仿宋" w:eastAsia="仿宋" w:cs="仿宋"/>
          <w:sz w:val="32"/>
          <w:szCs w:val="32"/>
          <w:lang w:val="en-US" w:eastAsia="zh-CN"/>
        </w:rPr>
        <w:t>0</w:t>
      </w:r>
      <w:r>
        <w:rPr>
          <w:rFonts w:hint="eastAsia" w:ascii="仿宋" w:hAnsi="仿宋" w:eastAsia="仿宋" w:cs="仿宋"/>
          <w:sz w:val="32"/>
          <w:szCs w:val="32"/>
        </w:rPr>
        <w:t>人次（不包括陪同人员），共计支出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78E1F308">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外事接待支出0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外事接待</w:t>
      </w:r>
      <w:r>
        <w:rPr>
          <w:rFonts w:hint="eastAsia" w:ascii="仿宋" w:hAnsi="仿宋" w:eastAsia="仿宋" w:cs="仿宋"/>
          <w:sz w:val="32"/>
          <w:szCs w:val="32"/>
          <w:lang w:val="en-US" w:eastAsia="zh-CN"/>
        </w:rPr>
        <w:t>0</w:t>
      </w:r>
      <w:r>
        <w:rPr>
          <w:rFonts w:hint="eastAsia" w:ascii="仿宋" w:hAnsi="仿宋" w:eastAsia="仿宋" w:cs="仿宋"/>
          <w:sz w:val="32"/>
          <w:szCs w:val="32"/>
        </w:rPr>
        <w:t>批次，</w:t>
      </w:r>
      <w:r>
        <w:rPr>
          <w:rFonts w:hint="eastAsia" w:ascii="仿宋" w:hAnsi="仿宋" w:eastAsia="仿宋" w:cs="仿宋"/>
          <w:sz w:val="32"/>
          <w:szCs w:val="32"/>
          <w:lang w:val="en-US" w:eastAsia="zh-CN"/>
        </w:rPr>
        <w:t>0</w:t>
      </w:r>
      <w:r>
        <w:rPr>
          <w:rFonts w:hint="eastAsia" w:ascii="仿宋" w:hAnsi="仿宋" w:eastAsia="仿宋" w:cs="仿宋"/>
          <w:sz w:val="32"/>
          <w:szCs w:val="32"/>
        </w:rPr>
        <w:t>人次（不包括陪同人员），共计支出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32C2087E">
      <w:pPr>
        <w:spacing w:line="600" w:lineRule="exact"/>
        <w:ind w:firstLine="640"/>
        <w:outlineLvl w:val="1"/>
        <w:rPr>
          <w:rStyle w:val="30"/>
          <w:rFonts w:hint="eastAsia" w:ascii="黑体" w:hAnsi="黑体" w:eastAsia="黑体" w:cs="黑体"/>
        </w:rPr>
      </w:pPr>
      <w:r>
        <w:rPr>
          <w:rFonts w:hint="eastAsia" w:ascii="黑体" w:hAnsi="黑体" w:eastAsia="黑体" w:cs="黑体"/>
          <w:sz w:val="32"/>
          <w:szCs w:val="32"/>
        </w:rPr>
        <w:t>八、</w:t>
      </w:r>
      <w:r>
        <w:rPr>
          <w:rStyle w:val="30"/>
          <w:rFonts w:hint="eastAsia" w:ascii="黑体" w:hAnsi="黑体" w:eastAsia="黑体" w:cs="黑体"/>
          <w:b w:val="0"/>
        </w:rPr>
        <w:t>政府性基金预算支出决算情况说明</w:t>
      </w:r>
      <w:bookmarkEnd w:id="29"/>
      <w:bookmarkEnd w:id="30"/>
    </w:p>
    <w:p w14:paraId="5CD5AE8F">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2023年度政府性基金预算财政拨款支出</w:t>
      </w:r>
      <w:r>
        <w:rPr>
          <w:rFonts w:hint="eastAsia" w:ascii="仿宋" w:hAnsi="仿宋" w:eastAsia="仿宋" w:cs="仿宋"/>
          <w:b/>
          <w:sz w:val="32"/>
          <w:szCs w:val="32"/>
        </w:rPr>
        <w:t>0</w:t>
      </w:r>
      <w:r>
        <w:rPr>
          <w:rFonts w:hint="eastAsia" w:ascii="仿宋" w:hAnsi="仿宋" w:eastAsia="仿宋" w:cs="仿宋"/>
          <w:sz w:val="32"/>
          <w:szCs w:val="32"/>
        </w:rPr>
        <w:t>万元。</w:t>
      </w:r>
    </w:p>
    <w:p w14:paraId="0B14CA2E">
      <w:pPr>
        <w:numPr>
          <w:ilvl w:val="0"/>
          <w:numId w:val="4"/>
        </w:numPr>
        <w:spacing w:line="600" w:lineRule="exact"/>
        <w:ind w:firstLine="640"/>
        <w:outlineLvl w:val="1"/>
        <w:rPr>
          <w:rStyle w:val="30"/>
          <w:rFonts w:hint="eastAsia" w:ascii="黑体" w:hAnsi="黑体" w:eastAsia="黑体" w:cs="黑体"/>
          <w:b w:val="0"/>
        </w:rPr>
      </w:pPr>
      <w:bookmarkStart w:id="31" w:name="_Toc15396611"/>
      <w:bookmarkStart w:id="32" w:name="_Toc15377219"/>
      <w:r>
        <w:rPr>
          <w:rStyle w:val="30"/>
          <w:rFonts w:hint="eastAsia" w:ascii="黑体" w:hAnsi="黑体" w:eastAsia="黑体" w:cs="黑体"/>
          <w:b w:val="0"/>
        </w:rPr>
        <w:t>国有资本经营预算支出决算情况说明</w:t>
      </w:r>
      <w:bookmarkEnd w:id="31"/>
      <w:bookmarkEnd w:id="32"/>
    </w:p>
    <w:p w14:paraId="32D8A580">
      <w:pPr>
        <w:spacing w:line="600" w:lineRule="exact"/>
        <w:ind w:firstLine="640"/>
        <w:rPr>
          <w:rFonts w:hint="eastAsia" w:ascii="仿宋" w:hAnsi="仿宋" w:eastAsia="仿宋" w:cs="仿宋"/>
          <w:sz w:val="44"/>
          <w:szCs w:val="44"/>
        </w:rPr>
      </w:pPr>
      <w:r>
        <w:rPr>
          <w:rFonts w:hint="eastAsia" w:ascii="仿宋" w:hAnsi="仿宋" w:eastAsia="仿宋" w:cs="仿宋"/>
          <w:sz w:val="32"/>
          <w:szCs w:val="32"/>
        </w:rPr>
        <w:t>2023年度国有资本经营预算财政拨款支出</w:t>
      </w:r>
      <w:r>
        <w:rPr>
          <w:rFonts w:hint="eastAsia" w:ascii="仿宋" w:hAnsi="仿宋" w:eastAsia="仿宋" w:cs="仿宋"/>
          <w:b/>
          <w:sz w:val="32"/>
          <w:szCs w:val="32"/>
        </w:rPr>
        <w:t>0</w:t>
      </w:r>
      <w:r>
        <w:rPr>
          <w:rFonts w:hint="eastAsia" w:ascii="仿宋" w:hAnsi="仿宋" w:eastAsia="仿宋" w:cs="仿宋"/>
          <w:sz w:val="32"/>
          <w:szCs w:val="32"/>
        </w:rPr>
        <w:t>万元。</w:t>
      </w:r>
    </w:p>
    <w:p w14:paraId="1E0FE54B">
      <w:pPr>
        <w:numPr>
          <w:ilvl w:val="0"/>
          <w:numId w:val="4"/>
        </w:numPr>
        <w:spacing w:line="600" w:lineRule="exact"/>
        <w:ind w:firstLine="640"/>
        <w:outlineLvl w:val="1"/>
        <w:rPr>
          <w:rStyle w:val="30"/>
          <w:rFonts w:hint="eastAsia" w:ascii="黑体" w:hAnsi="黑体" w:eastAsia="黑体" w:cs="黑体"/>
          <w:b w:val="0"/>
        </w:rPr>
      </w:pPr>
      <w:bookmarkStart w:id="33" w:name="_Toc15396612"/>
      <w:bookmarkStart w:id="34" w:name="_Toc15377221"/>
      <w:r>
        <w:rPr>
          <w:rStyle w:val="30"/>
          <w:rFonts w:hint="eastAsia" w:ascii="黑体" w:hAnsi="黑体" w:eastAsia="黑体" w:cs="黑体"/>
          <w:b w:val="0"/>
        </w:rPr>
        <w:t>其他重要事项的情况说明</w:t>
      </w:r>
      <w:bookmarkEnd w:id="33"/>
      <w:bookmarkEnd w:id="34"/>
    </w:p>
    <w:p w14:paraId="58624857">
      <w:pPr>
        <w:spacing w:line="600" w:lineRule="exact"/>
        <w:ind w:firstLine="643" w:firstLineChars="200"/>
        <w:outlineLvl w:val="2"/>
        <w:rPr>
          <w:rFonts w:hint="eastAsia" w:ascii="仿宋" w:hAnsi="仿宋" w:eastAsia="仿宋" w:cs="仿宋"/>
          <w:sz w:val="32"/>
          <w:szCs w:val="32"/>
        </w:rPr>
      </w:pPr>
      <w:bookmarkStart w:id="35" w:name="_Toc15377222"/>
      <w:r>
        <w:rPr>
          <w:rFonts w:hint="eastAsia" w:ascii="仿宋" w:hAnsi="仿宋" w:eastAsia="仿宋" w:cs="仿宋"/>
          <w:b/>
          <w:sz w:val="32"/>
          <w:szCs w:val="32"/>
        </w:rPr>
        <w:t>（一）机关运行经费支出情况</w:t>
      </w:r>
      <w:bookmarkEnd w:id="35"/>
    </w:p>
    <w:p w14:paraId="79EAC46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2023年度，</w:t>
      </w:r>
      <w:r>
        <w:rPr>
          <w:rFonts w:hint="eastAsia" w:ascii="仿宋" w:hAnsi="仿宋" w:eastAsia="仿宋" w:cs="仿宋"/>
          <w:b/>
          <w:sz w:val="32"/>
          <w:szCs w:val="32"/>
          <w:lang w:eastAsia="zh-CN"/>
        </w:rPr>
        <w:t>射洪市金华镇伯玉小学校</w:t>
      </w:r>
      <w:r>
        <w:rPr>
          <w:rFonts w:hint="eastAsia" w:ascii="仿宋" w:hAnsi="仿宋" w:eastAsia="仿宋" w:cs="仿宋"/>
          <w:sz w:val="32"/>
          <w:szCs w:val="32"/>
        </w:rPr>
        <w:t>机关运行经费支出</w:t>
      </w:r>
      <w:r>
        <w:rPr>
          <w:rFonts w:hint="eastAsia" w:ascii="仿宋" w:hAnsi="仿宋" w:eastAsia="仿宋" w:cs="仿宋"/>
          <w:b/>
          <w:sz w:val="32"/>
          <w:szCs w:val="32"/>
        </w:rPr>
        <w:t>0</w:t>
      </w:r>
      <w:r>
        <w:rPr>
          <w:rFonts w:hint="eastAsia" w:ascii="仿宋" w:hAnsi="仿宋" w:eastAsia="仿宋" w:cs="仿宋"/>
          <w:sz w:val="32"/>
          <w:szCs w:val="32"/>
        </w:rPr>
        <w:t>万元，比2022年度增加/减少</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3690740A">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36" w:name="_Toc15377223"/>
      <w:r>
        <w:rPr>
          <w:rFonts w:hint="eastAsia" w:ascii="仿宋" w:hAnsi="仿宋" w:eastAsia="仿宋" w:cs="仿宋"/>
          <w:b/>
          <w:sz w:val="32"/>
          <w:szCs w:val="32"/>
        </w:rPr>
        <w:t>（二）政府采购支出情况</w:t>
      </w:r>
      <w:bookmarkEnd w:id="36"/>
    </w:p>
    <w:p w14:paraId="465B139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2023年度，</w:t>
      </w:r>
      <w:r>
        <w:rPr>
          <w:rFonts w:hint="eastAsia" w:ascii="仿宋" w:hAnsi="仿宋" w:eastAsia="仿宋" w:cs="仿宋"/>
          <w:b/>
          <w:sz w:val="32"/>
          <w:szCs w:val="32"/>
          <w:lang w:eastAsia="zh-CN"/>
        </w:rPr>
        <w:t>射洪市金华镇伯玉小学校</w:t>
      </w:r>
      <w:r>
        <w:rPr>
          <w:rFonts w:hint="eastAsia" w:ascii="仿宋" w:hAnsi="仿宋" w:eastAsia="仿宋" w:cs="仿宋"/>
          <w:sz w:val="32"/>
          <w:szCs w:val="32"/>
        </w:rPr>
        <w:t>政府采购支出总额</w:t>
      </w:r>
      <w:r>
        <w:rPr>
          <w:rFonts w:hint="eastAsia" w:ascii="仿宋" w:hAnsi="仿宋" w:eastAsia="仿宋" w:cs="仿宋"/>
          <w:b/>
          <w:sz w:val="32"/>
          <w:szCs w:val="32"/>
        </w:rPr>
        <w:t>0</w:t>
      </w:r>
      <w:r>
        <w:rPr>
          <w:rFonts w:hint="eastAsia" w:ascii="仿宋" w:hAnsi="仿宋" w:eastAsia="仿宋" w:cs="仿宋"/>
          <w:sz w:val="32"/>
          <w:szCs w:val="32"/>
        </w:rPr>
        <w:t>万元，其中：政府采购货物支出</w:t>
      </w:r>
      <w:r>
        <w:rPr>
          <w:rFonts w:hint="eastAsia" w:ascii="仿宋" w:hAnsi="仿宋" w:eastAsia="仿宋" w:cs="仿宋"/>
          <w:b/>
          <w:sz w:val="32"/>
          <w:szCs w:val="32"/>
        </w:rPr>
        <w:t>0</w:t>
      </w:r>
      <w:r>
        <w:rPr>
          <w:rFonts w:hint="eastAsia" w:ascii="仿宋" w:hAnsi="仿宋" w:eastAsia="仿宋" w:cs="仿宋"/>
          <w:sz w:val="32"/>
          <w:szCs w:val="32"/>
        </w:rPr>
        <w:t>万元、政府采购工程支出</w:t>
      </w:r>
      <w:r>
        <w:rPr>
          <w:rFonts w:hint="eastAsia" w:ascii="仿宋" w:hAnsi="仿宋" w:eastAsia="仿宋" w:cs="仿宋"/>
          <w:b/>
          <w:sz w:val="32"/>
          <w:szCs w:val="32"/>
        </w:rPr>
        <w:t>0</w:t>
      </w:r>
      <w:r>
        <w:rPr>
          <w:rFonts w:hint="eastAsia" w:ascii="仿宋" w:hAnsi="仿宋" w:eastAsia="仿宋" w:cs="仿宋"/>
          <w:sz w:val="32"/>
          <w:szCs w:val="32"/>
        </w:rPr>
        <w:t>万元、政府采购服务支出</w:t>
      </w:r>
      <w:r>
        <w:rPr>
          <w:rFonts w:hint="eastAsia" w:ascii="仿宋" w:hAnsi="仿宋" w:eastAsia="仿宋" w:cs="仿宋"/>
          <w:b/>
          <w:sz w:val="32"/>
          <w:szCs w:val="32"/>
        </w:rPr>
        <w:t>0</w:t>
      </w:r>
      <w:r>
        <w:rPr>
          <w:rFonts w:hint="eastAsia" w:ascii="仿宋" w:hAnsi="仿宋" w:eastAsia="仿宋" w:cs="仿宋"/>
          <w:sz w:val="32"/>
          <w:szCs w:val="32"/>
        </w:rPr>
        <w:t>万元。主要用于…（具体工作）。授予中小企业合同金额</w:t>
      </w:r>
      <w:r>
        <w:rPr>
          <w:rFonts w:hint="eastAsia" w:ascii="仿宋" w:hAnsi="仿宋" w:eastAsia="仿宋" w:cs="仿宋"/>
          <w:b/>
          <w:sz w:val="32"/>
          <w:szCs w:val="32"/>
        </w:rPr>
        <w:t>0</w:t>
      </w:r>
      <w:r>
        <w:rPr>
          <w:rFonts w:hint="eastAsia" w:ascii="仿宋" w:hAnsi="仿宋" w:eastAsia="仿宋" w:cs="仿宋"/>
          <w:sz w:val="32"/>
          <w:szCs w:val="32"/>
        </w:rPr>
        <w:t>万元，占政府采购支出总额的0%，其中：授予小微企业合同金额</w:t>
      </w:r>
      <w:r>
        <w:rPr>
          <w:rFonts w:hint="eastAsia" w:ascii="仿宋" w:hAnsi="仿宋" w:eastAsia="仿宋" w:cs="仿宋"/>
          <w:b/>
          <w:sz w:val="32"/>
          <w:szCs w:val="32"/>
        </w:rPr>
        <w:t>0</w:t>
      </w:r>
      <w:r>
        <w:rPr>
          <w:rFonts w:hint="eastAsia" w:ascii="仿宋" w:hAnsi="仿宋" w:eastAsia="仿宋" w:cs="仿宋"/>
          <w:sz w:val="32"/>
          <w:szCs w:val="32"/>
        </w:rPr>
        <w:t>万元，占政府采购支出总额的</w:t>
      </w:r>
      <w:r>
        <w:rPr>
          <w:rFonts w:hint="eastAsia" w:ascii="仿宋" w:hAnsi="仿宋" w:eastAsia="仿宋" w:cs="仿宋"/>
          <w:b/>
          <w:sz w:val="32"/>
          <w:szCs w:val="32"/>
        </w:rPr>
        <w:t>0</w:t>
      </w:r>
      <w:r>
        <w:rPr>
          <w:rFonts w:hint="eastAsia" w:ascii="仿宋" w:hAnsi="仿宋" w:eastAsia="仿宋" w:cs="仿宋"/>
          <w:sz w:val="32"/>
          <w:szCs w:val="32"/>
        </w:rPr>
        <w:t>%。</w:t>
      </w:r>
    </w:p>
    <w:p w14:paraId="174B12E5">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37" w:name="_Toc15377224"/>
      <w:r>
        <w:rPr>
          <w:rFonts w:hint="eastAsia" w:ascii="仿宋" w:hAnsi="仿宋" w:eastAsia="仿宋" w:cs="仿宋"/>
          <w:b/>
          <w:sz w:val="32"/>
          <w:szCs w:val="32"/>
        </w:rPr>
        <w:t>（三）国有资产占有使用情况</w:t>
      </w:r>
      <w:bookmarkEnd w:id="37"/>
    </w:p>
    <w:p w14:paraId="6C5F9F5A">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截至2023年12月31日，</w:t>
      </w:r>
      <w:r>
        <w:rPr>
          <w:rFonts w:hint="eastAsia" w:ascii="仿宋" w:hAnsi="仿宋" w:eastAsia="仿宋" w:cs="仿宋"/>
          <w:b/>
          <w:sz w:val="32"/>
          <w:szCs w:val="32"/>
          <w:lang w:eastAsia="zh-CN"/>
        </w:rPr>
        <w:t>射洪市金华镇伯玉小学校</w:t>
      </w:r>
      <w:r>
        <w:rPr>
          <w:rFonts w:hint="eastAsia" w:ascii="仿宋" w:hAnsi="仿宋" w:eastAsia="仿宋" w:cs="仿宋"/>
          <w:sz w:val="32"/>
          <w:szCs w:val="32"/>
        </w:rPr>
        <w:t>共有车辆</w:t>
      </w:r>
      <w:r>
        <w:rPr>
          <w:rFonts w:hint="eastAsia" w:ascii="仿宋" w:hAnsi="仿宋" w:eastAsia="仿宋" w:cs="仿宋"/>
          <w:b/>
          <w:sz w:val="32"/>
          <w:szCs w:val="32"/>
        </w:rPr>
        <w:t>0</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辆。单价100万元以上设备（不含车辆）</w:t>
      </w:r>
      <w:r>
        <w:rPr>
          <w:rFonts w:hint="eastAsia" w:ascii="仿宋" w:hAnsi="仿宋" w:eastAsia="仿宋" w:cs="仿宋"/>
          <w:b/>
          <w:sz w:val="32"/>
          <w:szCs w:val="32"/>
        </w:rPr>
        <w:t>0</w:t>
      </w:r>
      <w:r>
        <w:rPr>
          <w:rFonts w:hint="eastAsia" w:ascii="仿宋" w:hAnsi="仿宋" w:eastAsia="仿宋" w:cs="仿宋"/>
          <w:sz w:val="32"/>
          <w:szCs w:val="32"/>
        </w:rPr>
        <w:t>台（套）。</w:t>
      </w:r>
    </w:p>
    <w:p w14:paraId="050D77B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27CAABD">
      <w:pPr>
        <w:adjustRightInd w:val="0"/>
        <w:snapToGrid w:val="0"/>
        <w:spacing w:line="640" w:lineRule="exact"/>
        <w:ind w:firstLine="720"/>
        <w:rPr>
          <w:rFonts w:ascii="仿宋" w:hAnsi="仿宋" w:eastAsia="仿宋" w:cs="仿宋"/>
          <w:color w:val="auto"/>
          <w:sz w:val="32"/>
          <w:szCs w:val="32"/>
        </w:rPr>
      </w:pPr>
      <w:r>
        <w:rPr>
          <w:rFonts w:hint="eastAsia" w:ascii="仿宋" w:hAnsi="仿宋" w:eastAsia="仿宋" w:cs="仿宋"/>
          <w:color w:val="auto"/>
          <w:sz w:val="32"/>
          <w:szCs w:val="32"/>
        </w:rPr>
        <w:t>本按要求对20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年整体支出开展绩效自评。从评价情况来看</w:t>
      </w:r>
      <w:r>
        <w:rPr>
          <w:rFonts w:hint="eastAsia" w:ascii="仿宋" w:hAnsi="仿宋" w:eastAsia="仿宋" w:cs="仿宋"/>
          <w:color w:val="auto"/>
          <w:sz w:val="32"/>
          <w:szCs w:val="32"/>
          <w:lang w:val="zh-CN"/>
        </w:rPr>
        <w:t>按</w:t>
      </w:r>
      <w:r>
        <w:rPr>
          <w:rFonts w:hint="eastAsia" w:ascii="仿宋" w:hAnsi="仿宋" w:eastAsia="仿宋" w:cs="仿宋"/>
          <w:color w:val="auto"/>
          <w:sz w:val="32"/>
          <w:szCs w:val="32"/>
        </w:rPr>
        <w:t>照</w:t>
      </w:r>
      <w:r>
        <w:rPr>
          <w:rFonts w:hint="eastAsia" w:ascii="仿宋" w:hAnsi="仿宋" w:eastAsia="仿宋" w:cs="仿宋"/>
          <w:color w:val="auto"/>
          <w:sz w:val="32"/>
          <w:szCs w:val="32"/>
          <w:lang w:val="zh-CN"/>
        </w:rPr>
        <w:t>财政局通知要求，在规定时间内在政府门户网站向社会公开本预决算相关信息，包含所有财政资金安排的“三公”经费、机关运行经费的安排、使用情况等。</w:t>
      </w:r>
      <w:r>
        <w:rPr>
          <w:rFonts w:hint="eastAsia" w:ascii="仿宋" w:hAnsi="仿宋" w:eastAsia="仿宋" w:cs="仿宋"/>
          <w:color w:val="auto"/>
          <w:sz w:val="32"/>
          <w:szCs w:val="32"/>
          <w:lang w:eastAsia="zh-CN"/>
        </w:rPr>
        <w:t>金华镇小</w:t>
      </w:r>
      <w:r>
        <w:rPr>
          <w:rFonts w:hint="eastAsia" w:ascii="仿宋" w:hAnsi="仿宋" w:eastAsia="仿宋" w:cs="仿宋"/>
          <w:color w:val="auto"/>
          <w:sz w:val="32"/>
          <w:szCs w:val="32"/>
        </w:rPr>
        <w:t>领导高度重视绩效自评工作，</w:t>
      </w:r>
      <w:r>
        <w:rPr>
          <w:rFonts w:hint="eastAsia" w:ascii="仿宋" w:hAnsi="仿宋" w:eastAsia="仿宋" w:cs="仿宋"/>
          <w:color w:val="auto"/>
          <w:sz w:val="32"/>
          <w:szCs w:val="32"/>
          <w:lang w:val="zh-CN"/>
        </w:rPr>
        <w:t>严格按照绩效评价工作要求开展自评工作。在</w:t>
      </w:r>
      <w:r>
        <w:rPr>
          <w:rFonts w:hint="eastAsia" w:ascii="仿宋" w:hAnsi="仿宋" w:eastAsia="仿宋" w:cs="仿宋"/>
          <w:color w:val="auto"/>
          <w:sz w:val="32"/>
          <w:szCs w:val="32"/>
        </w:rPr>
        <w:t>市纪委阶段性重点工作督查、违规</w:t>
      </w:r>
      <w:r>
        <w:rPr>
          <w:rFonts w:hint="eastAsia" w:ascii="仿宋" w:hAnsi="仿宋" w:eastAsia="仿宋" w:cs="仿宋"/>
          <w:color w:val="auto"/>
          <w:sz w:val="32"/>
          <w:szCs w:val="32"/>
          <w:lang w:val="zh-CN"/>
        </w:rPr>
        <w:t>私设小金库等专项检查中，我校高度重视，精心组织，认真自查，</w:t>
      </w:r>
      <w:r>
        <w:rPr>
          <w:rFonts w:hint="eastAsia" w:ascii="仿宋" w:hAnsi="仿宋" w:eastAsia="仿宋" w:cs="仿宋"/>
          <w:color w:val="auto"/>
          <w:sz w:val="32"/>
          <w:szCs w:val="32"/>
        </w:rPr>
        <w:t>立行立改，</w:t>
      </w:r>
      <w:r>
        <w:rPr>
          <w:rFonts w:hint="eastAsia" w:ascii="仿宋" w:hAnsi="仿宋" w:eastAsia="仿宋" w:cs="仿宋"/>
          <w:color w:val="auto"/>
          <w:sz w:val="32"/>
          <w:szCs w:val="32"/>
          <w:lang w:val="zh-CN"/>
        </w:rPr>
        <w:t>按照要求及时报送自查</w:t>
      </w:r>
      <w:r>
        <w:rPr>
          <w:rFonts w:hint="eastAsia" w:ascii="仿宋" w:hAnsi="仿宋" w:eastAsia="仿宋" w:cs="仿宋"/>
          <w:color w:val="auto"/>
          <w:sz w:val="32"/>
          <w:szCs w:val="32"/>
        </w:rPr>
        <w:t>整改</w:t>
      </w:r>
      <w:r>
        <w:rPr>
          <w:rFonts w:hint="eastAsia" w:ascii="仿宋" w:hAnsi="仿宋" w:eastAsia="仿宋" w:cs="仿宋"/>
          <w:color w:val="auto"/>
          <w:sz w:val="32"/>
          <w:szCs w:val="32"/>
          <w:lang w:val="zh-CN"/>
        </w:rPr>
        <w:t>报告及相关资料，依法接受财政</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纪检监察</w:t>
      </w:r>
      <w:r>
        <w:rPr>
          <w:rFonts w:hint="eastAsia" w:ascii="仿宋" w:hAnsi="仿宋" w:eastAsia="仿宋" w:cs="仿宋"/>
          <w:color w:val="auto"/>
          <w:sz w:val="32"/>
          <w:szCs w:val="32"/>
        </w:rPr>
        <w:t>。本无专项预算项目，因此未组织开展项目支出绩效评价。</w:t>
      </w:r>
    </w:p>
    <w:p w14:paraId="28979BCD">
      <w:pPr>
        <w:spacing w:line="600" w:lineRule="exact"/>
        <w:ind w:firstLine="640" w:firstLineChars="200"/>
        <w:rPr>
          <w:rFonts w:ascii="仿宋_GB2312" w:eastAsia="仿宋_GB2312"/>
          <w:sz w:val="32"/>
          <w:szCs w:val="32"/>
        </w:rPr>
      </w:pPr>
    </w:p>
    <w:p w14:paraId="19E358B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0787F3C">
      <w:pPr>
        <w:numPr>
          <w:ilvl w:val="0"/>
          <w:numId w:val="5"/>
        </w:numPr>
        <w:spacing w:line="600" w:lineRule="exact"/>
        <w:ind w:firstLine="660" w:firstLineChars="150"/>
        <w:jc w:val="center"/>
        <w:outlineLvl w:val="0"/>
        <w:rPr>
          <w:rStyle w:val="29"/>
          <w:rFonts w:ascii="黑体" w:hAnsi="黑体" w:eastAsia="黑体"/>
          <w:b w:val="0"/>
        </w:rPr>
      </w:pPr>
      <w:bookmarkStart w:id="38" w:name="_Toc15396613"/>
      <w:bookmarkStart w:id="39" w:name="_Toc15377225"/>
      <w:r>
        <w:rPr>
          <w:rFonts w:hint="eastAsia" w:ascii="黑体" w:hAnsi="黑体" w:eastAsia="黑体"/>
          <w:sz w:val="44"/>
          <w:szCs w:val="44"/>
        </w:rPr>
        <w:t>名</w:t>
      </w:r>
      <w:r>
        <w:rPr>
          <w:rStyle w:val="29"/>
          <w:rFonts w:hint="eastAsia" w:ascii="黑体" w:hAnsi="黑体" w:eastAsia="黑体"/>
          <w:b w:val="0"/>
        </w:rPr>
        <w:t>词解释</w:t>
      </w:r>
      <w:bookmarkEnd w:id="38"/>
      <w:bookmarkEnd w:id="39"/>
    </w:p>
    <w:p w14:paraId="08713B81">
      <w:pPr>
        <w:spacing w:line="600" w:lineRule="exact"/>
        <w:jc w:val="left"/>
        <w:rPr>
          <w:rFonts w:ascii="宋体"/>
          <w:b/>
          <w:sz w:val="44"/>
          <w:szCs w:val="44"/>
        </w:rPr>
      </w:pPr>
    </w:p>
    <w:p w14:paraId="43DF5593">
      <w:pPr>
        <w:pStyle w:val="27"/>
        <w:spacing w:beforeLines="0" w:afterLines="0" w:line="560" w:lineRule="exact"/>
        <w:ind w:firstLine="640" w:firstLineChars="200"/>
        <w:rPr>
          <w:rFonts w:hint="eastAsia" w:hAnsi="仿宋"/>
          <w:color w:val="auto"/>
          <w:sz w:val="32"/>
          <w:szCs w:val="32"/>
        </w:rPr>
      </w:pPr>
      <w:bookmarkStart w:id="40" w:name="_Toc15377226"/>
      <w:r>
        <w:rPr>
          <w:rFonts w:hint="eastAsia" w:hAnsi="仿宋"/>
          <w:color w:val="auto"/>
          <w:sz w:val="32"/>
          <w:szCs w:val="32"/>
        </w:rPr>
        <w:t>1.一般公共预算拨款（补助）收入：指</w:t>
      </w:r>
      <w:r>
        <w:rPr>
          <w:rFonts w:hint="eastAsia" w:hAnsi="仿宋"/>
          <w:color w:val="auto"/>
          <w:sz w:val="32"/>
          <w:szCs w:val="32"/>
          <w:lang w:eastAsia="zh-CN"/>
        </w:rPr>
        <w:t>市</w:t>
      </w:r>
      <w:r>
        <w:rPr>
          <w:rFonts w:hint="eastAsia" w:hAnsi="仿宋"/>
          <w:color w:val="auto"/>
          <w:sz w:val="32"/>
          <w:szCs w:val="32"/>
        </w:rPr>
        <w:t>本级财政拨入的各类经费。</w:t>
      </w:r>
    </w:p>
    <w:p w14:paraId="716488B5">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2.上年结转：指以前年度尚未完成、结转到本年仍按原规定用途继续使用的资金。</w:t>
      </w:r>
    </w:p>
    <w:p w14:paraId="4DB9FC14">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3.结转下年：指以前年度预算安排、因客观条件发生变化无法按原计划实施，需延迟到以后年度按原规定用途继续使用的资金。</w:t>
      </w:r>
    </w:p>
    <w:p w14:paraId="7C6E2E01">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4.基本支出：指为保障机构正常运转、完成日常工作任务而发生的人员支出和公用支出。</w:t>
      </w:r>
    </w:p>
    <w:p w14:paraId="737B40E4">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5.项目支出：指在基本支出之外为完成特定行政任务和事业发展目标所发生的支出。</w:t>
      </w:r>
    </w:p>
    <w:p w14:paraId="6BC7ECB0">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6.“三公”经费：</w:t>
      </w:r>
      <w:r>
        <w:rPr>
          <w:rFonts w:hint="eastAsia" w:hAnsi="仿宋"/>
          <w:color w:val="auto"/>
          <w:sz w:val="32"/>
          <w:szCs w:val="32"/>
          <w:lang w:eastAsia="zh-CN"/>
        </w:rPr>
        <w:t>“三公”经费</w:t>
      </w:r>
      <w:r>
        <w:rPr>
          <w:rFonts w:hint="eastAsia" w:hAnsi="仿宋"/>
          <w:color w:val="auto"/>
          <w:sz w:val="32"/>
          <w:szCs w:val="32"/>
        </w:rPr>
        <w:t>是指财政拨款支出安排的出国（境）费、车辆购置及运行费、公务接待费这三项经费。其中，因公出国（境）费反映单位公务出国（境）的国际旅费、国外城市间交通费、 住宿费、伙食费、培训费、公杂费等支出；公务用车购置及运行费反映单位公务用车车辆购置支出（含车辆购置税）及燃料 费、维修费、过路过桥费、保险费、安全奖励费用等支出；公务接待费反映单位按规定开支的各类公务接待（含外宾接待）支出。</w:t>
      </w:r>
    </w:p>
    <w:p w14:paraId="76B5BB8E">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7.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即使用一般公共预算财政拨款安排的基本支出中的日常公用经费，不含人员经费和一般行政管理项目支出。</w:t>
      </w:r>
    </w:p>
    <w:p w14:paraId="71D366B8">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lang w:val="en-US" w:eastAsia="zh-CN"/>
        </w:rPr>
        <w:t>8</w:t>
      </w:r>
      <w:r>
        <w:rPr>
          <w:rFonts w:hint="eastAsia" w:hAnsi="仿宋"/>
          <w:color w:val="auto"/>
          <w:sz w:val="32"/>
          <w:szCs w:val="32"/>
        </w:rPr>
        <w:t>、社会保障和就业支出（类）行政事业单位离退休（款）归口管理的行政单位离退休（项），主要用于：归口管理的行政单位离退休人员活动、医疗补助、党组织活动、老干部管理工作等。</w:t>
      </w:r>
    </w:p>
    <w:p w14:paraId="6E589D0A">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lang w:val="en-US" w:eastAsia="zh-CN"/>
        </w:rPr>
        <w:t>9</w:t>
      </w:r>
      <w:r>
        <w:rPr>
          <w:rFonts w:hint="eastAsia" w:hAnsi="仿宋"/>
          <w:color w:val="auto"/>
          <w:sz w:val="32"/>
          <w:szCs w:val="32"/>
        </w:rPr>
        <w:t>、社会保障和就业支出（类）行政事业单位离退休（款）事业单位离退休（项），主要用于：事业单位离退休人员活动、医疗补助、党组织活动、老干部管理工作等。</w:t>
      </w:r>
    </w:p>
    <w:p w14:paraId="3924F15E">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lang w:val="en-US" w:eastAsia="zh-CN"/>
        </w:rPr>
        <w:t>10</w:t>
      </w:r>
      <w:r>
        <w:rPr>
          <w:rFonts w:hint="eastAsia" w:hAnsi="仿宋"/>
          <w:color w:val="auto"/>
          <w:sz w:val="32"/>
          <w:szCs w:val="32"/>
        </w:rPr>
        <w:t>、社会保障和就业支出（类）行政事业单位离退休（款）机关事业单位基本养老保险缴费支出（项），主要用于：机关事业单位基本养老保险缴费支出。</w:t>
      </w:r>
    </w:p>
    <w:p w14:paraId="71DB14A7">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lang w:val="en-US" w:eastAsia="zh-CN"/>
        </w:rPr>
        <w:t>11</w:t>
      </w:r>
      <w:r>
        <w:rPr>
          <w:rFonts w:hint="eastAsia" w:hAnsi="仿宋"/>
          <w:color w:val="auto"/>
          <w:sz w:val="32"/>
          <w:szCs w:val="32"/>
        </w:rPr>
        <w:t>、社会保障和就业支出（类）行政事业单位离退休（款）其他行政事业单位离退休支出（项</w:t>
      </w:r>
      <w:r>
        <w:rPr>
          <w:rFonts w:hint="eastAsia" w:hAnsi="仿宋"/>
          <w:color w:val="auto"/>
          <w:sz w:val="32"/>
          <w:szCs w:val="32"/>
          <w:lang w:eastAsia="zh-CN"/>
        </w:rPr>
        <w:t>）</w:t>
      </w:r>
      <w:r>
        <w:rPr>
          <w:rFonts w:hint="eastAsia" w:hAnsi="仿宋"/>
          <w:color w:val="auto"/>
          <w:sz w:val="32"/>
          <w:szCs w:val="32"/>
        </w:rPr>
        <w:t>，主要用于：机关事业单位离退休人员工作经费支出。</w:t>
      </w:r>
    </w:p>
    <w:p w14:paraId="085AE741">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1</w:t>
      </w:r>
      <w:r>
        <w:rPr>
          <w:rFonts w:hint="eastAsia" w:hAnsi="仿宋"/>
          <w:color w:val="auto"/>
          <w:sz w:val="32"/>
          <w:szCs w:val="32"/>
          <w:lang w:val="en-US" w:eastAsia="zh-CN"/>
        </w:rPr>
        <w:t>2</w:t>
      </w:r>
      <w:r>
        <w:rPr>
          <w:rFonts w:hint="eastAsia" w:hAnsi="仿宋"/>
          <w:color w:val="auto"/>
          <w:sz w:val="32"/>
          <w:szCs w:val="32"/>
        </w:rPr>
        <w:t>、社会保障和就业支出（类）其他社会保障和就业支出（款）其他社会保障和就业支出（项），主要用于改制了断人员及</w:t>
      </w:r>
      <w:r>
        <w:rPr>
          <w:rFonts w:hint="eastAsia" w:hAnsi="仿宋"/>
          <w:color w:val="auto"/>
          <w:sz w:val="32"/>
          <w:szCs w:val="32"/>
          <w:lang w:eastAsia="zh-CN"/>
        </w:rPr>
        <w:t>中华人民共和国成立前</w:t>
      </w:r>
      <w:r>
        <w:rPr>
          <w:rFonts w:hint="eastAsia" w:hAnsi="仿宋"/>
          <w:color w:val="auto"/>
          <w:sz w:val="32"/>
          <w:szCs w:val="32"/>
        </w:rPr>
        <w:t>参加工作人员等生活补助。</w:t>
      </w:r>
    </w:p>
    <w:p w14:paraId="177FE159">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1</w:t>
      </w:r>
      <w:r>
        <w:rPr>
          <w:rFonts w:hint="eastAsia" w:hAnsi="仿宋"/>
          <w:color w:val="auto"/>
          <w:sz w:val="32"/>
          <w:szCs w:val="32"/>
          <w:lang w:val="en-US" w:eastAsia="zh-CN"/>
        </w:rPr>
        <w:t>3</w:t>
      </w:r>
      <w:r>
        <w:rPr>
          <w:rFonts w:hint="eastAsia" w:hAnsi="仿宋"/>
          <w:color w:val="auto"/>
          <w:sz w:val="32"/>
          <w:szCs w:val="32"/>
        </w:rPr>
        <w:t>、卫生健康支出（类）行政事业单位医疗（款）行政单位医疗（项），主要用于：行政单位按照规定标准为职工缴纳的基本医疗保险等支出。</w:t>
      </w:r>
    </w:p>
    <w:p w14:paraId="2F001C6B">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rPr>
        <w:t>1</w:t>
      </w:r>
      <w:r>
        <w:rPr>
          <w:rFonts w:hint="eastAsia" w:hAnsi="仿宋"/>
          <w:color w:val="auto"/>
          <w:sz w:val="32"/>
          <w:szCs w:val="32"/>
          <w:lang w:val="en-US" w:eastAsia="zh-CN"/>
        </w:rPr>
        <w:t>4</w:t>
      </w:r>
      <w:r>
        <w:rPr>
          <w:rFonts w:hint="eastAsia" w:hAnsi="仿宋"/>
          <w:color w:val="auto"/>
          <w:sz w:val="32"/>
          <w:szCs w:val="32"/>
        </w:rPr>
        <w:t>、卫生健康支出（类）行政事业单位医疗（款）事业单位医疗（项），主要用于：事业单位按照规定标准为职工缴纳的基本医疗保险及失业保险等支出。</w:t>
      </w:r>
    </w:p>
    <w:p w14:paraId="20A1375C">
      <w:pPr>
        <w:pStyle w:val="27"/>
        <w:spacing w:beforeLines="0" w:afterLines="0" w:line="560" w:lineRule="exact"/>
        <w:ind w:firstLine="640" w:firstLineChars="200"/>
        <w:rPr>
          <w:rFonts w:hint="eastAsia" w:hAnsi="仿宋"/>
          <w:color w:val="auto"/>
          <w:sz w:val="32"/>
          <w:szCs w:val="32"/>
          <w:lang w:eastAsia="zh-CN"/>
        </w:rPr>
      </w:pPr>
      <w:r>
        <w:rPr>
          <w:rFonts w:hint="eastAsia" w:hAnsi="仿宋"/>
          <w:color w:val="auto"/>
          <w:sz w:val="32"/>
          <w:szCs w:val="32"/>
        </w:rPr>
        <w:t>1</w:t>
      </w:r>
      <w:r>
        <w:rPr>
          <w:rFonts w:hint="eastAsia" w:hAnsi="仿宋"/>
          <w:color w:val="auto"/>
          <w:sz w:val="32"/>
          <w:szCs w:val="32"/>
          <w:lang w:val="en-US" w:eastAsia="zh-CN"/>
        </w:rPr>
        <w:t>5</w:t>
      </w:r>
      <w:r>
        <w:rPr>
          <w:rFonts w:hint="eastAsia" w:hAnsi="仿宋"/>
          <w:color w:val="auto"/>
          <w:sz w:val="32"/>
          <w:szCs w:val="32"/>
        </w:rPr>
        <w:t>、卫生健康支出（类）行政事业单位医疗（款）公务员医疗补助（项），主要用于：行政</w:t>
      </w:r>
      <w:r>
        <w:rPr>
          <w:rFonts w:hint="eastAsia" w:hAnsi="仿宋"/>
          <w:color w:val="auto"/>
          <w:sz w:val="32"/>
          <w:szCs w:val="32"/>
          <w:lang w:eastAsia="zh-CN"/>
        </w:rPr>
        <w:t>事业</w:t>
      </w:r>
      <w:r>
        <w:rPr>
          <w:rFonts w:hint="eastAsia" w:hAnsi="仿宋"/>
          <w:color w:val="auto"/>
          <w:sz w:val="32"/>
          <w:szCs w:val="32"/>
        </w:rPr>
        <w:t>及参公单位职工医疗补助缴费</w:t>
      </w:r>
      <w:r>
        <w:rPr>
          <w:rFonts w:hint="eastAsia" w:hAnsi="仿宋"/>
          <w:color w:val="auto"/>
          <w:sz w:val="32"/>
          <w:szCs w:val="32"/>
          <w:lang w:eastAsia="zh-CN"/>
        </w:rPr>
        <w:t>。</w:t>
      </w:r>
    </w:p>
    <w:p w14:paraId="3E47C8B1">
      <w:pPr>
        <w:pStyle w:val="27"/>
        <w:spacing w:beforeLines="0" w:afterLines="0" w:line="560" w:lineRule="exact"/>
        <w:ind w:firstLine="640" w:firstLineChars="200"/>
        <w:rPr>
          <w:rFonts w:hint="eastAsia" w:hAnsi="仿宋"/>
          <w:color w:val="auto"/>
          <w:sz w:val="32"/>
          <w:szCs w:val="32"/>
        </w:rPr>
      </w:pPr>
      <w:r>
        <w:rPr>
          <w:rFonts w:hint="eastAsia" w:hAnsi="仿宋"/>
          <w:color w:val="auto"/>
          <w:sz w:val="32"/>
          <w:szCs w:val="32"/>
          <w:lang w:val="en-US" w:eastAsia="zh-CN"/>
        </w:rPr>
        <w:t>16</w:t>
      </w:r>
      <w:r>
        <w:rPr>
          <w:rFonts w:hint="eastAsia" w:hAnsi="仿宋"/>
          <w:color w:val="auto"/>
          <w:sz w:val="32"/>
          <w:szCs w:val="32"/>
        </w:rPr>
        <w:t>、住房保障支出（类）住房改革支出（款）住房公积金（项），主要用于：按照规定标准为职工缴纳的职工住房公积金支出。</w:t>
      </w:r>
    </w:p>
    <w:p w14:paraId="1D27094B">
      <w:pPr>
        <w:pStyle w:val="27"/>
        <w:spacing w:beforeLines="0" w:afterLines="0" w:line="560" w:lineRule="exact"/>
        <w:jc w:val="center"/>
        <w:rPr>
          <w:rStyle w:val="29"/>
          <w:rFonts w:ascii="黑体" w:hAnsi="黑体" w:eastAsia="黑体"/>
          <w:b w:val="0"/>
        </w:rPr>
      </w:pPr>
      <w:r>
        <w:rPr>
          <w:rFonts w:hint="eastAsia" w:hAnsi="仿宋"/>
          <w:color w:val="auto"/>
          <w:sz w:val="32"/>
          <w:szCs w:val="32"/>
        </w:rPr>
        <w:br w:type="page"/>
      </w:r>
      <w:bookmarkStart w:id="41" w:name="_Toc15396614"/>
      <w:r>
        <w:rPr>
          <w:rFonts w:hint="eastAsia" w:ascii="黑体" w:hAnsi="黑体" w:eastAsia="黑体"/>
          <w:sz w:val="44"/>
          <w:szCs w:val="44"/>
        </w:rPr>
        <w:t>第</w:t>
      </w:r>
      <w:r>
        <w:rPr>
          <w:rStyle w:val="29"/>
          <w:rFonts w:hint="eastAsia" w:ascii="黑体" w:hAnsi="黑体" w:eastAsia="黑体"/>
          <w:b w:val="0"/>
        </w:rPr>
        <w:t>四部分 附件</w:t>
      </w:r>
      <w:bookmarkEnd w:id="41"/>
    </w:p>
    <w:p w14:paraId="380F4B13">
      <w:pPr>
        <w:spacing w:line="572" w:lineRule="exact"/>
        <w:jc w:val="left"/>
        <w:outlineLvl w:val="0"/>
        <w:rPr>
          <w:rFonts w:ascii="仿宋_GB2312" w:hAnsi="仿宋_GB2312" w:eastAsia="仿宋_GB2312" w:cs="仿宋_GB2312"/>
          <w:sz w:val="32"/>
          <w:szCs w:val="32"/>
        </w:rPr>
      </w:pPr>
    </w:p>
    <w:p w14:paraId="03CFBDAC">
      <w:pPr>
        <w:spacing w:line="600" w:lineRule="exact"/>
        <w:jc w:val="center"/>
        <w:outlineLvl w:val="0"/>
        <w:rPr>
          <w:rFonts w:hint="eastAsia" w:ascii="黑体" w:hAnsi="黑体" w:eastAsia="黑体"/>
          <w:sz w:val="44"/>
          <w:szCs w:val="44"/>
        </w:rPr>
      </w:pPr>
      <w:bookmarkStart w:id="42" w:name="_Toc15396618"/>
    </w:p>
    <w:p w14:paraId="2105DE12">
      <w:pPr>
        <w:tabs>
          <w:tab w:val="left" w:pos="1027"/>
        </w:tabs>
        <w:spacing w:line="600" w:lineRule="exact"/>
        <w:ind w:firstLine="640" w:firstLineChars="200"/>
        <w:jc w:val="both"/>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因学校撤并，无项目支出绩效自评表。</w:t>
      </w:r>
    </w:p>
    <w:p w14:paraId="71B87710">
      <w:pPr>
        <w:spacing w:line="600" w:lineRule="exact"/>
        <w:jc w:val="center"/>
        <w:outlineLvl w:val="0"/>
        <w:rPr>
          <w:rFonts w:hint="eastAsia" w:ascii="黑体" w:hAnsi="黑体" w:eastAsia="黑体"/>
          <w:sz w:val="44"/>
          <w:szCs w:val="44"/>
        </w:rPr>
      </w:pPr>
    </w:p>
    <w:p w14:paraId="5B51CA0F">
      <w:pPr>
        <w:spacing w:line="600" w:lineRule="exact"/>
        <w:jc w:val="center"/>
        <w:outlineLvl w:val="0"/>
        <w:rPr>
          <w:rFonts w:hint="eastAsia" w:ascii="黑体" w:hAnsi="黑体" w:eastAsia="黑体"/>
          <w:sz w:val="44"/>
          <w:szCs w:val="44"/>
        </w:rPr>
      </w:pPr>
    </w:p>
    <w:p w14:paraId="207776A5">
      <w:pPr>
        <w:spacing w:line="600" w:lineRule="exact"/>
        <w:jc w:val="center"/>
        <w:outlineLvl w:val="0"/>
        <w:rPr>
          <w:rFonts w:hint="eastAsia" w:ascii="黑体" w:hAnsi="黑体" w:eastAsia="黑体"/>
          <w:sz w:val="44"/>
          <w:szCs w:val="44"/>
        </w:rPr>
      </w:pPr>
    </w:p>
    <w:p w14:paraId="20516A47">
      <w:pPr>
        <w:spacing w:line="600" w:lineRule="exact"/>
        <w:jc w:val="center"/>
        <w:outlineLvl w:val="0"/>
        <w:rPr>
          <w:rFonts w:hint="eastAsia" w:ascii="黑体" w:hAnsi="黑体" w:eastAsia="黑体"/>
          <w:sz w:val="44"/>
          <w:szCs w:val="44"/>
        </w:rPr>
      </w:pPr>
    </w:p>
    <w:p w14:paraId="4E120740">
      <w:pPr>
        <w:spacing w:line="600" w:lineRule="exact"/>
        <w:jc w:val="center"/>
        <w:outlineLvl w:val="0"/>
        <w:rPr>
          <w:rFonts w:hint="eastAsia" w:ascii="黑体" w:hAnsi="黑体" w:eastAsia="黑体"/>
          <w:sz w:val="44"/>
          <w:szCs w:val="44"/>
        </w:rPr>
      </w:pPr>
    </w:p>
    <w:p w14:paraId="5D84D250">
      <w:pPr>
        <w:spacing w:line="600" w:lineRule="exact"/>
        <w:jc w:val="center"/>
        <w:outlineLvl w:val="0"/>
        <w:rPr>
          <w:rFonts w:hint="eastAsia" w:ascii="黑体" w:hAnsi="黑体" w:eastAsia="黑体"/>
          <w:sz w:val="44"/>
          <w:szCs w:val="44"/>
        </w:rPr>
      </w:pPr>
    </w:p>
    <w:p w14:paraId="49598258">
      <w:pPr>
        <w:spacing w:line="600" w:lineRule="exact"/>
        <w:jc w:val="center"/>
        <w:outlineLvl w:val="0"/>
        <w:rPr>
          <w:rFonts w:hint="eastAsia" w:ascii="黑体" w:hAnsi="黑体" w:eastAsia="黑体"/>
          <w:sz w:val="44"/>
          <w:szCs w:val="44"/>
        </w:rPr>
      </w:pPr>
    </w:p>
    <w:p w14:paraId="45808496">
      <w:pPr>
        <w:spacing w:line="600" w:lineRule="exact"/>
        <w:jc w:val="center"/>
        <w:outlineLvl w:val="0"/>
        <w:rPr>
          <w:rFonts w:hint="eastAsia" w:ascii="黑体" w:hAnsi="黑体" w:eastAsia="黑体"/>
          <w:sz w:val="44"/>
          <w:szCs w:val="44"/>
        </w:rPr>
      </w:pPr>
    </w:p>
    <w:p w14:paraId="3D5C0CF6">
      <w:pPr>
        <w:spacing w:line="600" w:lineRule="exact"/>
        <w:jc w:val="center"/>
        <w:outlineLvl w:val="0"/>
        <w:rPr>
          <w:rFonts w:hint="eastAsia" w:ascii="黑体" w:hAnsi="黑体" w:eastAsia="黑体"/>
          <w:sz w:val="44"/>
          <w:szCs w:val="44"/>
        </w:rPr>
      </w:pPr>
    </w:p>
    <w:p w14:paraId="34DBA4EC">
      <w:pPr>
        <w:spacing w:line="600" w:lineRule="exact"/>
        <w:jc w:val="center"/>
        <w:outlineLvl w:val="0"/>
        <w:rPr>
          <w:rFonts w:hint="eastAsia" w:ascii="黑体" w:hAnsi="黑体" w:eastAsia="黑体"/>
          <w:sz w:val="44"/>
          <w:szCs w:val="44"/>
        </w:rPr>
      </w:pPr>
    </w:p>
    <w:p w14:paraId="6CEAF177">
      <w:pPr>
        <w:spacing w:line="600" w:lineRule="exact"/>
        <w:jc w:val="center"/>
        <w:outlineLvl w:val="0"/>
        <w:rPr>
          <w:rFonts w:hint="eastAsia" w:ascii="黑体" w:hAnsi="黑体" w:eastAsia="黑体"/>
          <w:sz w:val="44"/>
          <w:szCs w:val="44"/>
        </w:rPr>
      </w:pPr>
    </w:p>
    <w:p w14:paraId="473D5AED">
      <w:pPr>
        <w:spacing w:line="600" w:lineRule="exact"/>
        <w:jc w:val="center"/>
        <w:outlineLvl w:val="0"/>
        <w:rPr>
          <w:rFonts w:hint="eastAsia" w:ascii="黑体" w:hAnsi="黑体" w:eastAsia="黑体"/>
          <w:sz w:val="44"/>
          <w:szCs w:val="44"/>
        </w:rPr>
      </w:pPr>
    </w:p>
    <w:p w14:paraId="7B0610BF">
      <w:pPr>
        <w:spacing w:line="600" w:lineRule="exact"/>
        <w:jc w:val="center"/>
        <w:outlineLvl w:val="0"/>
        <w:rPr>
          <w:rFonts w:hint="eastAsia" w:ascii="黑体" w:hAnsi="黑体" w:eastAsia="黑体"/>
          <w:sz w:val="44"/>
          <w:szCs w:val="44"/>
        </w:rPr>
      </w:pPr>
    </w:p>
    <w:p w14:paraId="57C2EA46">
      <w:pPr>
        <w:spacing w:line="600" w:lineRule="exact"/>
        <w:jc w:val="center"/>
        <w:outlineLvl w:val="0"/>
        <w:rPr>
          <w:rFonts w:hint="eastAsia" w:ascii="黑体" w:hAnsi="黑体" w:eastAsia="黑体"/>
          <w:sz w:val="44"/>
          <w:szCs w:val="44"/>
        </w:rPr>
      </w:pPr>
    </w:p>
    <w:p w14:paraId="011163F1">
      <w:pPr>
        <w:spacing w:line="600" w:lineRule="exact"/>
        <w:jc w:val="center"/>
        <w:outlineLvl w:val="0"/>
        <w:rPr>
          <w:rFonts w:hint="eastAsia" w:ascii="黑体" w:hAnsi="黑体" w:eastAsia="黑体"/>
          <w:sz w:val="44"/>
          <w:szCs w:val="44"/>
        </w:rPr>
      </w:pPr>
    </w:p>
    <w:p w14:paraId="4CCE2F1C">
      <w:pPr>
        <w:spacing w:line="600" w:lineRule="exact"/>
        <w:jc w:val="center"/>
        <w:outlineLvl w:val="0"/>
        <w:rPr>
          <w:rFonts w:hint="eastAsia" w:ascii="黑体" w:hAnsi="黑体" w:eastAsia="黑体"/>
          <w:sz w:val="44"/>
          <w:szCs w:val="44"/>
        </w:rPr>
      </w:pPr>
    </w:p>
    <w:p w14:paraId="44F4835A">
      <w:pPr>
        <w:spacing w:line="600" w:lineRule="exact"/>
        <w:jc w:val="center"/>
        <w:outlineLvl w:val="0"/>
        <w:rPr>
          <w:rFonts w:hint="eastAsia" w:ascii="黑体" w:hAnsi="黑体" w:eastAsia="黑体"/>
          <w:sz w:val="44"/>
          <w:szCs w:val="44"/>
        </w:rPr>
      </w:pPr>
    </w:p>
    <w:p w14:paraId="71D8EB47">
      <w:pPr>
        <w:spacing w:line="600" w:lineRule="exact"/>
        <w:jc w:val="center"/>
        <w:outlineLvl w:val="0"/>
        <w:rPr>
          <w:rFonts w:hint="eastAsia" w:ascii="黑体" w:hAnsi="黑体" w:eastAsia="黑体"/>
          <w:sz w:val="44"/>
          <w:szCs w:val="44"/>
        </w:rPr>
      </w:pPr>
    </w:p>
    <w:p w14:paraId="6D7D9567">
      <w:pPr>
        <w:spacing w:line="600" w:lineRule="exact"/>
        <w:jc w:val="center"/>
        <w:outlineLvl w:val="0"/>
        <w:rPr>
          <w:rFonts w:hint="eastAsia" w:ascii="黑体" w:hAnsi="黑体" w:eastAsia="黑体"/>
          <w:sz w:val="44"/>
          <w:szCs w:val="44"/>
        </w:rPr>
      </w:pPr>
    </w:p>
    <w:p w14:paraId="6E7C556A">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40"/>
      <w:bookmarkEnd w:id="42"/>
      <w:bookmarkStart w:id="43" w:name="_Toc15396619"/>
    </w:p>
    <w:p w14:paraId="2854357A">
      <w:pPr>
        <w:pStyle w:val="5"/>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43"/>
    </w:p>
    <w:p w14:paraId="73501695">
      <w:pPr>
        <w:pStyle w:val="5"/>
        <w:rPr>
          <w:rFonts w:ascii="仿宋" w:hAnsi="仿宋" w:eastAsia="仿宋"/>
        </w:rPr>
      </w:pPr>
      <w:bookmarkStart w:id="44" w:name="_Toc15396620"/>
      <w:r>
        <w:rPr>
          <w:rFonts w:hint="eastAsia" w:ascii="仿宋" w:hAnsi="仿宋" w:eastAsia="仿宋"/>
          <w:b w:val="0"/>
        </w:rPr>
        <w:t>二、收</w:t>
      </w:r>
      <w:r>
        <w:rPr>
          <w:rStyle w:val="30"/>
          <w:rFonts w:hint="eastAsia" w:ascii="仿宋" w:hAnsi="仿宋" w:eastAsia="仿宋"/>
          <w:b w:val="0"/>
          <w:bCs w:val="0"/>
        </w:rPr>
        <w:t>入决算表</w:t>
      </w:r>
      <w:bookmarkEnd w:id="44"/>
    </w:p>
    <w:p w14:paraId="3E737165">
      <w:pPr>
        <w:pStyle w:val="5"/>
        <w:rPr>
          <w:rFonts w:ascii="仿宋" w:hAnsi="仿宋" w:eastAsia="仿宋"/>
        </w:rPr>
      </w:pPr>
      <w:bookmarkStart w:id="45"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45"/>
    </w:p>
    <w:p w14:paraId="03613F08">
      <w:pPr>
        <w:pStyle w:val="5"/>
        <w:rPr>
          <w:rFonts w:ascii="仿宋" w:hAnsi="仿宋" w:eastAsia="仿宋"/>
          <w:b w:val="0"/>
        </w:rPr>
      </w:pPr>
      <w:bookmarkStart w:id="46"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46"/>
    </w:p>
    <w:p w14:paraId="5C45BD9C">
      <w:pPr>
        <w:pStyle w:val="5"/>
        <w:rPr>
          <w:rStyle w:val="30"/>
          <w:rFonts w:ascii="仿宋" w:hAnsi="仿宋" w:eastAsia="仿宋"/>
          <w:b w:val="0"/>
          <w:bCs w:val="0"/>
        </w:rPr>
      </w:pPr>
      <w:bookmarkStart w:id="47"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47"/>
      <w:bookmarkStart w:id="48" w:name="_Toc15396624"/>
    </w:p>
    <w:p w14:paraId="31A0DFFC">
      <w:pPr>
        <w:pStyle w:val="5"/>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48"/>
    </w:p>
    <w:p w14:paraId="7AE6C430">
      <w:pPr>
        <w:pStyle w:val="5"/>
        <w:rPr>
          <w:rFonts w:ascii="仿宋" w:hAnsi="仿宋" w:eastAsia="仿宋"/>
        </w:rPr>
      </w:pPr>
      <w:bookmarkStart w:id="49"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49"/>
    </w:p>
    <w:p w14:paraId="6649DA7C">
      <w:pPr>
        <w:pStyle w:val="5"/>
        <w:rPr>
          <w:rFonts w:ascii="仿宋" w:hAnsi="仿宋" w:eastAsia="仿宋"/>
        </w:rPr>
      </w:pPr>
      <w:bookmarkStart w:id="50"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50"/>
    </w:p>
    <w:p w14:paraId="112FE985">
      <w:pPr>
        <w:pStyle w:val="5"/>
        <w:rPr>
          <w:rFonts w:ascii="仿宋" w:hAnsi="仿宋" w:eastAsia="仿宋"/>
        </w:rPr>
      </w:pPr>
      <w:bookmarkStart w:id="51"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51"/>
    </w:p>
    <w:p w14:paraId="413F5E46">
      <w:pPr>
        <w:pStyle w:val="5"/>
        <w:rPr>
          <w:rFonts w:ascii="仿宋" w:hAnsi="仿宋" w:eastAsia="仿宋"/>
        </w:rPr>
      </w:pPr>
      <w:bookmarkStart w:id="52" w:name="_Toc15396628"/>
      <w:r>
        <w:rPr>
          <w:rStyle w:val="30"/>
          <w:rFonts w:hint="eastAsia" w:ascii="仿宋" w:hAnsi="仿宋" w:eastAsia="仿宋"/>
          <w:b w:val="0"/>
          <w:bCs w:val="0"/>
        </w:rPr>
        <w:t>十、</w:t>
      </w:r>
      <w:bookmarkEnd w:id="52"/>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07CEB24A">
      <w:pPr>
        <w:pStyle w:val="5"/>
        <w:rPr>
          <w:rFonts w:ascii="仿宋" w:hAnsi="仿宋" w:eastAsia="仿宋"/>
        </w:rPr>
      </w:pPr>
      <w:bookmarkStart w:id="53" w:name="_Toc15396629"/>
      <w:r>
        <w:rPr>
          <w:rStyle w:val="30"/>
          <w:rFonts w:hint="eastAsia" w:ascii="仿宋" w:hAnsi="仿宋" w:eastAsia="仿宋"/>
          <w:b w:val="0"/>
          <w:bCs w:val="0"/>
        </w:rPr>
        <w:t>十一、</w:t>
      </w:r>
      <w:bookmarkEnd w:id="53"/>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31658AD7">
      <w:pPr>
        <w:pStyle w:val="5"/>
        <w:rPr>
          <w:rFonts w:ascii="仿宋" w:hAnsi="仿宋" w:eastAsia="仿宋"/>
        </w:rPr>
      </w:pPr>
      <w:bookmarkStart w:id="54" w:name="_Toc15396630"/>
      <w:r>
        <w:rPr>
          <w:rStyle w:val="30"/>
          <w:rFonts w:hint="eastAsia" w:ascii="仿宋" w:hAnsi="仿宋" w:eastAsia="仿宋"/>
          <w:b w:val="0"/>
          <w:bCs w:val="0"/>
        </w:rPr>
        <w:t>十二、</w:t>
      </w:r>
      <w:bookmarkEnd w:id="54"/>
      <w:r>
        <w:rPr>
          <w:rStyle w:val="30"/>
          <w:rFonts w:hint="eastAsia" w:ascii="仿宋" w:hAnsi="仿宋" w:eastAsia="仿宋"/>
          <w:b w:val="0"/>
          <w:bCs w:val="0"/>
        </w:rPr>
        <w:t>国有资本经营预算财政拨款支出决算表</w:t>
      </w:r>
    </w:p>
    <w:p w14:paraId="4E3B4F8F">
      <w:pPr>
        <w:pStyle w:val="5"/>
        <w:rPr>
          <w:rFonts w:eastAsia="仿宋"/>
        </w:rPr>
      </w:pPr>
      <w:bookmarkStart w:id="55" w:name="_Toc15396631"/>
      <w:r>
        <w:rPr>
          <w:rStyle w:val="30"/>
          <w:rFonts w:hint="eastAsia" w:ascii="仿宋" w:hAnsi="仿宋" w:eastAsia="仿宋"/>
          <w:b w:val="0"/>
          <w:bCs w:val="0"/>
        </w:rPr>
        <w:t>十三、</w:t>
      </w:r>
      <w:bookmarkEnd w:id="55"/>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FEBA548">
        <w:pPr>
          <w:pStyle w:val="11"/>
          <w:jc w:val="center"/>
        </w:pPr>
        <w:r>
          <w:fldChar w:fldCharType="begin"/>
        </w:r>
        <w:r>
          <w:instrText xml:space="preserve">PAGE   \* MERGEFORMAT</w:instrText>
        </w:r>
        <w:r>
          <w:fldChar w:fldCharType="separate"/>
        </w:r>
        <w:r>
          <w:rPr>
            <w:lang w:val="zh-CN"/>
          </w:rPr>
          <w:t>15</w:t>
        </w:r>
        <w:r>
          <w:fldChar w:fldCharType="end"/>
        </w:r>
      </w:p>
    </w:sdtContent>
  </w:sdt>
  <w:p w14:paraId="07FA018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07B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8145A"/>
    <w:multiLevelType w:val="singleLevel"/>
    <w:tmpl w:val="A858145A"/>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jQ1ZWEzMGEyZjdhMGExYmIxOGVkYWEzMmFm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85543"/>
    <w:rsid w:val="03DC2831"/>
    <w:rsid w:val="03F21B45"/>
    <w:rsid w:val="05F463E0"/>
    <w:rsid w:val="081B5E94"/>
    <w:rsid w:val="0998567D"/>
    <w:rsid w:val="0A2032A3"/>
    <w:rsid w:val="0B8A37D8"/>
    <w:rsid w:val="0F5FFB2F"/>
    <w:rsid w:val="0FFFCF60"/>
    <w:rsid w:val="10C055FF"/>
    <w:rsid w:val="113642CD"/>
    <w:rsid w:val="118107EC"/>
    <w:rsid w:val="11DD6519"/>
    <w:rsid w:val="16BB723D"/>
    <w:rsid w:val="18015F3F"/>
    <w:rsid w:val="1BE8440E"/>
    <w:rsid w:val="1D155CEE"/>
    <w:rsid w:val="1FDBBF84"/>
    <w:rsid w:val="20F57F95"/>
    <w:rsid w:val="213B5ED3"/>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7C659C0"/>
    <w:rsid w:val="383D272C"/>
    <w:rsid w:val="38426BB8"/>
    <w:rsid w:val="39AE70AB"/>
    <w:rsid w:val="3A4DCE41"/>
    <w:rsid w:val="3BCB56FA"/>
    <w:rsid w:val="3C0C0783"/>
    <w:rsid w:val="3E635289"/>
    <w:rsid w:val="3EE7C2F4"/>
    <w:rsid w:val="3F371B56"/>
    <w:rsid w:val="3F792ED8"/>
    <w:rsid w:val="3F9F3A96"/>
    <w:rsid w:val="3FC65827"/>
    <w:rsid w:val="3FECA4B2"/>
    <w:rsid w:val="3FF58C48"/>
    <w:rsid w:val="406A220A"/>
    <w:rsid w:val="42AF1CE4"/>
    <w:rsid w:val="42FF6694"/>
    <w:rsid w:val="45835347"/>
    <w:rsid w:val="46516423"/>
    <w:rsid w:val="48BF60AB"/>
    <w:rsid w:val="493C27E9"/>
    <w:rsid w:val="496F39ED"/>
    <w:rsid w:val="49FF41D3"/>
    <w:rsid w:val="4BE068DB"/>
    <w:rsid w:val="4BF6002B"/>
    <w:rsid w:val="4BFFC6BE"/>
    <w:rsid w:val="4EA14313"/>
    <w:rsid w:val="4ECE2238"/>
    <w:rsid w:val="51DB4B86"/>
    <w:rsid w:val="51F64DB0"/>
    <w:rsid w:val="52453B3D"/>
    <w:rsid w:val="55333C3E"/>
    <w:rsid w:val="5CCA05C0"/>
    <w:rsid w:val="5F04518C"/>
    <w:rsid w:val="5F67802D"/>
    <w:rsid w:val="5F7DC4F2"/>
    <w:rsid w:val="5FB36814"/>
    <w:rsid w:val="5FBB8E56"/>
    <w:rsid w:val="5FFB5535"/>
    <w:rsid w:val="64B2104E"/>
    <w:rsid w:val="64CA39A1"/>
    <w:rsid w:val="69630ADE"/>
    <w:rsid w:val="69BD5F13"/>
    <w:rsid w:val="69FB0B4B"/>
    <w:rsid w:val="6BFFE1FB"/>
    <w:rsid w:val="6C4A05C8"/>
    <w:rsid w:val="6D3B1A89"/>
    <w:rsid w:val="6DB7D8A3"/>
    <w:rsid w:val="6EC78701"/>
    <w:rsid w:val="6F7A5481"/>
    <w:rsid w:val="6FFE07A9"/>
    <w:rsid w:val="71A467F0"/>
    <w:rsid w:val="71BF4EC2"/>
    <w:rsid w:val="72734D90"/>
    <w:rsid w:val="72CC4C05"/>
    <w:rsid w:val="73E75B71"/>
    <w:rsid w:val="7412278C"/>
    <w:rsid w:val="75DDCDA9"/>
    <w:rsid w:val="75FF44B1"/>
    <w:rsid w:val="77670518"/>
    <w:rsid w:val="777FA627"/>
    <w:rsid w:val="77DF1B5F"/>
    <w:rsid w:val="77EF2D9D"/>
    <w:rsid w:val="79E7B28D"/>
    <w:rsid w:val="7A075036"/>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spacing w:before="158" w:after="153" w:line="323" w:lineRule="atLeast"/>
      <w:ind w:right="-120"/>
      <w:jc w:val="center"/>
      <w:textAlignment w:val="baseline"/>
    </w:pPr>
    <w:rPr>
      <w:color w:val="FF0000"/>
      <w:sz w:val="18"/>
    </w:rPr>
  </w:style>
  <w:style w:type="paragraph" w:customStyle="1" w:styleId="3">
    <w:name w:val="节标题"/>
    <w:basedOn w:val="1"/>
    <w:next w:val="1"/>
    <w:qFormat/>
    <w:uiPriority w:val="99"/>
    <w:pPr>
      <w:spacing w:line="289" w:lineRule="atLeast"/>
      <w:jc w:val="center"/>
      <w:textAlignment w:val="baseline"/>
    </w:pPr>
    <w:rPr>
      <w:color w:val="000000"/>
      <w:sz w:val="28"/>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4"/>
    <w:qFormat/>
    <w:uiPriority w:val="9"/>
    <w:rPr>
      <w:rFonts w:ascii="Times New Roman" w:hAnsi="Times New Roman"/>
      <w:b/>
      <w:bCs/>
      <w:kern w:val="44"/>
      <w:sz w:val="44"/>
      <w:szCs w:val="44"/>
    </w:rPr>
  </w:style>
  <w:style w:type="character" w:customStyle="1" w:styleId="30">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36">
    <w:name w:val="21"/>
    <w:qFormat/>
    <w:uiPriority w:val="0"/>
    <w:rPr>
      <w:rFonts w:hint="default" w:ascii="Times New Roman" w:eastAsia="楷体_GB2312" w:cs="楷体_GB2312"/>
      <w:sz w:val="28"/>
      <w:szCs w:val="28"/>
    </w:rPr>
  </w:style>
  <w:style w:type="character" w:customStyle="1" w:styleId="37">
    <w:name w:val="默认段落字体11"/>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4903</Words>
  <Characters>6372</Characters>
  <Lines>54</Lines>
  <Paragraphs>15</Paragraphs>
  <TotalTime>9</TotalTime>
  <ScaleCrop>false</ScaleCrop>
  <LinksUpToDate>false</LinksUpToDate>
  <CharactersWithSpaces>6398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射洪市市教育体育局</cp:lastModifiedBy>
  <cp:lastPrinted>2024-08-30T07:21:00Z</cp:lastPrinted>
  <dcterms:modified xsi:type="dcterms:W3CDTF">2024-09-14T01:17:31Z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3EEE187EABD24087903A33A21EF3E6D5_13</vt:lpwstr>
  </property>
</Properties>
</file>