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7312E0">
      <w:pPr>
        <w:spacing w:line="600" w:lineRule="exact"/>
        <w:jc w:val="left"/>
        <w:outlineLvl w:val="0"/>
        <w:rPr>
          <w:rFonts w:ascii="方正小标宋简体" w:hAnsi="宋体" w:eastAsia="方正小标宋简体"/>
          <w:szCs w:val="21"/>
        </w:rPr>
      </w:pPr>
      <w:bookmarkStart w:id="0" w:name="_Toc15306267"/>
    </w:p>
    <w:p w14:paraId="76C36C72">
      <w:pPr>
        <w:pStyle w:val="6"/>
        <w:spacing w:before="93"/>
      </w:pPr>
    </w:p>
    <w:p w14:paraId="7D1D13CC">
      <w:pPr>
        <w:spacing w:line="600" w:lineRule="exact"/>
        <w:jc w:val="center"/>
        <w:outlineLvl w:val="0"/>
        <w:rPr>
          <w:rFonts w:ascii="方正小标宋简体" w:hAnsi="宋体" w:eastAsia="方正小标宋简体"/>
          <w:sz w:val="72"/>
          <w:szCs w:val="72"/>
        </w:rPr>
      </w:pPr>
    </w:p>
    <w:p w14:paraId="31282F03">
      <w:pPr>
        <w:spacing w:line="600" w:lineRule="exact"/>
        <w:jc w:val="center"/>
        <w:outlineLvl w:val="0"/>
        <w:rPr>
          <w:rFonts w:ascii="方正小标宋简体" w:hAnsi="宋体" w:eastAsia="方正小标宋简体"/>
          <w:sz w:val="72"/>
          <w:szCs w:val="72"/>
        </w:rPr>
      </w:pPr>
    </w:p>
    <w:p w14:paraId="14ED9AD6">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78441"/>
      <w:bookmarkStart w:id="2" w:name="_Toc15396597"/>
      <w:bookmarkStart w:id="3" w:name="_Toc15377193"/>
      <w:bookmarkStart w:id="4" w:name="_Toc15396475"/>
      <w:bookmarkStart w:id="5" w:name="_Toc15377425"/>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bookmarkEnd w:id="0"/>
    <w:p w14:paraId="33CB3316">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lang w:val="en-US" w:eastAsia="zh-CN"/>
        </w:rPr>
      </w:pPr>
      <w:bookmarkStart w:id="6" w:name="_Toc15377426"/>
      <w:bookmarkStart w:id="7" w:name="_Toc15378442"/>
      <w:bookmarkStart w:id="8" w:name="_Toc15396476"/>
      <w:bookmarkStart w:id="9" w:name="_Toc15396598"/>
      <w:bookmarkStart w:id="10" w:name="_Toc15377194"/>
      <w:r>
        <w:rPr>
          <w:rFonts w:hint="eastAsia" w:ascii="方正小标宋简体" w:hAnsi="方正小标宋简体" w:eastAsia="方正小标宋简体" w:cs="方正小标宋简体"/>
          <w:color w:val="auto"/>
          <w:sz w:val="72"/>
          <w:szCs w:val="72"/>
          <w:highlight w:val="none"/>
          <w:lang w:val="en-US" w:eastAsia="zh-CN"/>
        </w:rPr>
        <w:t>射洪市</w:t>
      </w:r>
      <w:bookmarkStart w:id="11" w:name="_Toc15306268"/>
      <w:r>
        <w:rPr>
          <w:rFonts w:hint="eastAsia" w:ascii="方正小标宋简体" w:hAnsi="方正小标宋简体" w:eastAsia="方正小标宋简体" w:cs="方正小标宋简体"/>
          <w:color w:val="auto"/>
          <w:sz w:val="72"/>
          <w:szCs w:val="72"/>
          <w:highlight w:val="none"/>
          <w:lang w:val="en-US" w:eastAsia="zh-CN"/>
        </w:rPr>
        <w:t>金华镇第一幼儿园单位</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r>
        <w:rPr>
          <w:rFonts w:hint="eastAsia" w:ascii="方正小标宋简体" w:hAnsi="方正小标宋简体" w:eastAsia="方正小标宋简体" w:cs="方正小标宋简体"/>
          <w:color w:val="auto"/>
          <w:sz w:val="72"/>
          <w:szCs w:val="72"/>
          <w:highlight w:val="none"/>
          <w:lang w:val="en-US" w:eastAsia="zh-CN"/>
        </w:rPr>
        <w:t>公开</w:t>
      </w:r>
    </w:p>
    <w:p w14:paraId="55C276DC">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36B13EAD">
      <w:pPr>
        <w:widowControl/>
        <w:jc w:val="center"/>
        <w:rPr>
          <w:rFonts w:ascii="黑体" w:hAnsi="黑体" w:eastAsia="黑体" w:cstheme="minorBidi"/>
          <w:sz w:val="28"/>
          <w:szCs w:val="28"/>
        </w:rPr>
      </w:pPr>
    </w:p>
    <w:p w14:paraId="7ED6E33F">
      <w:pPr>
        <w:pStyle w:val="12"/>
      </w:pPr>
      <w:r>
        <w:rPr>
          <w:rFonts w:hint="eastAsia"/>
        </w:rPr>
        <w:t>公开时间：202</w:t>
      </w:r>
      <w:r>
        <w:rPr>
          <w:rFonts w:hint="eastAsia"/>
          <w:lang w:val="en-US" w:eastAsia="zh-CN"/>
        </w:rPr>
        <w:t>4</w:t>
      </w:r>
      <w:r>
        <w:rPr>
          <w:rFonts w:hint="eastAsia"/>
        </w:rPr>
        <w:t>年9月</w:t>
      </w:r>
      <w:r>
        <w:rPr>
          <w:rFonts w:hint="eastAsia"/>
          <w:lang w:val="en-US" w:eastAsia="zh-CN"/>
        </w:rPr>
        <w:t>15</w:t>
      </w:r>
      <w:r>
        <w:rPr>
          <w:rFonts w:hint="eastAsia"/>
        </w:rPr>
        <w:t>日</w:t>
      </w:r>
    </w:p>
    <w:p w14:paraId="04589FC5"/>
    <w:p w14:paraId="0CBD400D">
      <w:pPr>
        <w:pStyle w:val="12"/>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单位概况</w:t>
      </w:r>
    </w:p>
    <w:p w14:paraId="69A64380">
      <w:pPr>
        <w:pStyle w:val="13"/>
        <w:adjustRightInd w:val="0"/>
        <w:snapToGrid w:val="0"/>
        <w:spacing w:line="440" w:lineRule="exact"/>
        <w:jc w:val="left"/>
        <w:rPr>
          <w:sz w:val="24"/>
        </w:rPr>
      </w:pPr>
      <w:r>
        <w:rPr>
          <w:rFonts w:hint="eastAsia"/>
          <w:sz w:val="24"/>
        </w:rPr>
        <w:t>一、主要职责</w:t>
      </w:r>
      <w:r>
        <w:rPr>
          <w:rFonts w:hint="eastAsia" w:ascii="仿宋" w:hAnsi="仿宋" w:eastAsia="仿宋" w:cs="仿宋"/>
          <w:color w:val="auto"/>
          <w:sz w:val="24"/>
          <w:highlight w:val="none"/>
        </w:rPr>
        <w:tab/>
      </w:r>
      <w:r>
        <w:rPr>
          <w:rFonts w:hint="eastAsia" w:ascii="仿宋" w:hAnsi="仿宋" w:eastAsia="仿宋" w:cs="仿宋"/>
          <w:color w:val="auto"/>
          <w:sz w:val="24"/>
          <w:highlight w:val="none"/>
          <w:lang w:val="en-US" w:eastAsia="zh-CN"/>
        </w:rPr>
        <w:t>4</w:t>
      </w:r>
    </w:p>
    <w:p w14:paraId="5C498BC0">
      <w:pPr>
        <w:pStyle w:val="13"/>
        <w:adjustRightInd w:val="0"/>
        <w:snapToGrid w:val="0"/>
        <w:spacing w:line="440" w:lineRule="exact"/>
        <w:jc w:val="left"/>
      </w:pPr>
      <w:r>
        <w:rPr>
          <w:rFonts w:hint="eastAsia"/>
          <w:sz w:val="24"/>
        </w:rPr>
        <w:t>二、机构设置</w:t>
      </w:r>
      <w:r>
        <w:rPr>
          <w:rFonts w:hint="eastAsia" w:ascii="仿宋" w:hAnsi="仿宋" w:eastAsia="仿宋" w:cs="仿宋"/>
          <w:color w:val="auto"/>
          <w:sz w:val="24"/>
          <w:highlight w:val="none"/>
        </w:rPr>
        <w:tab/>
      </w:r>
      <w:r>
        <w:rPr>
          <w:rFonts w:hint="eastAsia" w:ascii="仿宋" w:hAnsi="仿宋" w:eastAsia="仿宋" w:cs="仿宋"/>
          <w:color w:val="auto"/>
          <w:sz w:val="24"/>
          <w:highlight w:val="none"/>
          <w:lang w:val="en-US" w:eastAsia="zh-CN"/>
        </w:rPr>
        <w:t>4</w:t>
      </w:r>
    </w:p>
    <w:p w14:paraId="41518956">
      <w:pPr>
        <w:pStyle w:val="12"/>
        <w:adjustRightInd w:val="0"/>
        <w:snapToGrid w:val="0"/>
        <w:spacing w:before="0" w:line="440" w:lineRule="exact"/>
        <w:jc w:val="left"/>
        <w:rPr>
          <w:sz w:val="24"/>
          <w:szCs w:val="24"/>
        </w:rPr>
      </w:pPr>
      <w:r>
        <w:rPr>
          <w:rFonts w:hint="eastAsia"/>
          <w:sz w:val="24"/>
        </w:rPr>
        <w:t>第二部分 2023年度单位决算情况说明</w:t>
      </w:r>
    </w:p>
    <w:p w14:paraId="6CF53606">
      <w:pPr>
        <w:pStyle w:val="13"/>
        <w:adjustRightInd w:val="0"/>
        <w:snapToGrid w:val="0"/>
        <w:spacing w:line="440" w:lineRule="exact"/>
        <w:jc w:val="left"/>
        <w:rPr>
          <w:rFonts w:ascii="仿宋" w:hAnsi="仿宋" w:eastAsia="仿宋" w:cstheme="minorBidi"/>
          <w:sz w:val="24"/>
        </w:rPr>
      </w:pPr>
      <w:r>
        <w:rPr>
          <w:rFonts w:hint="eastAsia"/>
          <w:sz w:val="24"/>
        </w:rPr>
        <w:t>一、收入支出决算总体情况说明</w:t>
      </w:r>
      <w:r>
        <w:rPr>
          <w:rFonts w:hint="eastAsia" w:ascii="宋体" w:hAnsi="宋体" w:eastAsia="宋体" w:cs="宋体"/>
          <w:color w:val="auto"/>
          <w:sz w:val="24"/>
          <w:highlight w:val="none"/>
        </w:rPr>
        <w:tab/>
      </w:r>
      <w:r>
        <w:rPr>
          <w:rFonts w:hint="eastAsia" w:ascii="宋体" w:hAnsi="宋体" w:eastAsia="宋体" w:cs="宋体"/>
          <w:color w:val="auto"/>
          <w:sz w:val="24"/>
          <w:highlight w:val="none"/>
          <w:lang w:val="en-US" w:eastAsia="zh-CN"/>
        </w:rPr>
        <w:t>5</w:t>
      </w:r>
    </w:p>
    <w:p w14:paraId="5EA904F9">
      <w:pPr>
        <w:pStyle w:val="13"/>
        <w:adjustRightInd w:val="0"/>
        <w:snapToGrid w:val="0"/>
        <w:spacing w:line="440" w:lineRule="exact"/>
        <w:jc w:val="left"/>
        <w:rPr>
          <w:rFonts w:ascii="仿宋" w:hAnsi="仿宋" w:eastAsia="仿宋" w:cstheme="minorBidi"/>
          <w:sz w:val="24"/>
        </w:rPr>
      </w:pPr>
      <w:r>
        <w:rPr>
          <w:rFonts w:hint="eastAsia"/>
          <w:sz w:val="24"/>
        </w:rPr>
        <w:t>二、收入决算情况说明</w:t>
      </w:r>
      <w:r>
        <w:rPr>
          <w:rFonts w:hint="eastAsia" w:ascii="宋体" w:hAnsi="宋体" w:eastAsia="宋体" w:cs="宋体"/>
          <w:color w:val="auto"/>
          <w:sz w:val="24"/>
          <w:highlight w:val="none"/>
        </w:rPr>
        <w:tab/>
      </w:r>
      <w:r>
        <w:rPr>
          <w:rFonts w:hint="eastAsia" w:ascii="宋体" w:hAnsi="宋体" w:eastAsia="宋体" w:cs="宋体"/>
          <w:color w:val="auto"/>
          <w:sz w:val="24"/>
          <w:highlight w:val="none"/>
          <w:lang w:val="en-US" w:eastAsia="zh-CN"/>
        </w:rPr>
        <w:t>5</w:t>
      </w:r>
    </w:p>
    <w:p w14:paraId="665BFF03">
      <w:pPr>
        <w:pStyle w:val="13"/>
        <w:adjustRightInd w:val="0"/>
        <w:snapToGrid w:val="0"/>
        <w:spacing w:line="440" w:lineRule="exact"/>
        <w:jc w:val="left"/>
        <w:rPr>
          <w:rFonts w:ascii="仿宋" w:hAnsi="仿宋" w:eastAsia="仿宋" w:cstheme="minorBidi"/>
          <w:sz w:val="24"/>
        </w:rPr>
      </w:pPr>
      <w:r>
        <w:rPr>
          <w:rFonts w:hint="eastAsia"/>
          <w:sz w:val="24"/>
        </w:rPr>
        <w:t>三、支出决算情况说明</w:t>
      </w:r>
      <w:r>
        <w:rPr>
          <w:rFonts w:hint="eastAsia" w:ascii="宋体" w:hAnsi="宋体" w:eastAsia="宋体" w:cs="宋体"/>
          <w:color w:val="auto"/>
          <w:sz w:val="24"/>
          <w:highlight w:val="none"/>
        </w:rPr>
        <w:tab/>
      </w:r>
      <w:r>
        <w:rPr>
          <w:rFonts w:hint="eastAsia" w:ascii="宋体" w:hAnsi="宋体" w:eastAsia="宋体" w:cs="宋体"/>
          <w:color w:val="auto"/>
          <w:sz w:val="24"/>
          <w:highlight w:val="none"/>
          <w:lang w:val="en-US" w:eastAsia="zh-CN"/>
        </w:rPr>
        <w:t>6</w:t>
      </w:r>
    </w:p>
    <w:p w14:paraId="0AA92000">
      <w:pPr>
        <w:pStyle w:val="13"/>
        <w:adjustRightInd w:val="0"/>
        <w:snapToGrid w:val="0"/>
        <w:spacing w:line="440" w:lineRule="exact"/>
        <w:jc w:val="left"/>
        <w:rPr>
          <w:rFonts w:hint="eastAsia" w:ascii="仿宋" w:hAnsi="仿宋" w:eastAsia="宋体" w:cstheme="minorBidi"/>
          <w:sz w:val="24"/>
          <w:lang w:val="en-US" w:eastAsia="zh-CN"/>
        </w:rPr>
      </w:pPr>
      <w:r>
        <w:rPr>
          <w:rFonts w:hint="eastAsia"/>
          <w:sz w:val="24"/>
        </w:rPr>
        <w:t>四、财政拨款收入支出决算总体情况说明</w:t>
      </w:r>
      <w:r>
        <w:rPr>
          <w:rFonts w:hint="eastAsia" w:ascii="宋体" w:hAnsi="宋体" w:eastAsia="宋体" w:cs="宋体"/>
          <w:color w:val="auto"/>
          <w:sz w:val="24"/>
          <w:highlight w:val="none"/>
        </w:rPr>
        <w:tab/>
      </w:r>
      <w:r>
        <w:rPr>
          <w:rFonts w:hint="eastAsia" w:ascii="宋体" w:hAnsi="宋体" w:cs="宋体"/>
          <w:color w:val="auto"/>
          <w:sz w:val="24"/>
          <w:highlight w:val="none"/>
          <w:lang w:val="en-US" w:eastAsia="zh-CN"/>
        </w:rPr>
        <w:t>6</w:t>
      </w:r>
    </w:p>
    <w:p w14:paraId="4EA2D31E">
      <w:pPr>
        <w:pStyle w:val="13"/>
        <w:adjustRightInd w:val="0"/>
        <w:snapToGrid w:val="0"/>
        <w:spacing w:line="440" w:lineRule="exact"/>
        <w:jc w:val="left"/>
        <w:rPr>
          <w:rFonts w:hint="eastAsia" w:ascii="仿宋" w:hAnsi="仿宋" w:eastAsia="宋体" w:cstheme="minorBidi"/>
          <w:sz w:val="24"/>
          <w:lang w:val="en-US" w:eastAsia="zh-CN"/>
        </w:rPr>
      </w:pPr>
      <w:r>
        <w:rPr>
          <w:rFonts w:hint="eastAsia"/>
          <w:sz w:val="24"/>
        </w:rPr>
        <w:t>五、一般公共预算财政拨款支出决算情况说明</w:t>
      </w:r>
      <w:r>
        <w:rPr>
          <w:rFonts w:hint="eastAsia" w:ascii="宋体" w:hAnsi="宋体" w:eastAsia="宋体" w:cs="宋体"/>
          <w:color w:val="auto"/>
          <w:sz w:val="24"/>
          <w:highlight w:val="none"/>
        </w:rPr>
        <w:tab/>
      </w:r>
      <w:r>
        <w:rPr>
          <w:rFonts w:hint="eastAsia" w:ascii="宋体" w:hAnsi="宋体" w:cs="宋体"/>
          <w:color w:val="auto"/>
          <w:sz w:val="24"/>
          <w:highlight w:val="none"/>
          <w:lang w:val="en-US" w:eastAsia="zh-CN"/>
        </w:rPr>
        <w:t>7</w:t>
      </w:r>
    </w:p>
    <w:p w14:paraId="093D75F3">
      <w:pPr>
        <w:pStyle w:val="13"/>
        <w:adjustRightInd w:val="0"/>
        <w:snapToGrid w:val="0"/>
        <w:spacing w:line="440" w:lineRule="exact"/>
        <w:jc w:val="left"/>
        <w:rPr>
          <w:rFonts w:hint="eastAsia" w:ascii="仿宋" w:hAnsi="仿宋" w:eastAsia="宋体" w:cstheme="minorBidi"/>
          <w:sz w:val="24"/>
          <w:lang w:val="en-US" w:eastAsia="zh-CN"/>
        </w:rPr>
      </w:pPr>
      <w:r>
        <w:rPr>
          <w:rFonts w:hint="eastAsia"/>
          <w:sz w:val="24"/>
        </w:rPr>
        <w:t>六、一般公共预算财政拨款基本支出决算情况说明</w:t>
      </w:r>
      <w:r>
        <w:rPr>
          <w:rFonts w:hint="eastAsia" w:ascii="宋体" w:hAnsi="宋体" w:eastAsia="宋体" w:cs="宋体"/>
          <w:color w:val="auto"/>
          <w:sz w:val="24"/>
          <w:highlight w:val="none"/>
        </w:rPr>
        <w:tab/>
      </w:r>
      <w:r>
        <w:rPr>
          <w:rFonts w:hint="eastAsia" w:ascii="宋体" w:hAnsi="宋体" w:cs="宋体"/>
          <w:color w:val="auto"/>
          <w:sz w:val="24"/>
          <w:highlight w:val="none"/>
          <w:lang w:val="en-US" w:eastAsia="zh-CN"/>
        </w:rPr>
        <w:t>8</w:t>
      </w:r>
    </w:p>
    <w:p w14:paraId="1C050798">
      <w:pPr>
        <w:pStyle w:val="13"/>
        <w:adjustRightInd w:val="0"/>
        <w:snapToGrid w:val="0"/>
        <w:spacing w:line="440" w:lineRule="exact"/>
        <w:jc w:val="left"/>
        <w:rPr>
          <w:rFonts w:hint="eastAsia" w:ascii="仿宋" w:hAnsi="仿宋" w:eastAsia="宋体" w:cstheme="minorBidi"/>
          <w:sz w:val="24"/>
          <w:lang w:val="en-US" w:eastAsia="zh-CN"/>
        </w:rPr>
      </w:pPr>
      <w:r>
        <w:rPr>
          <w:rFonts w:hint="eastAsia"/>
          <w:sz w:val="24"/>
        </w:rPr>
        <w:t>七、财政拨款“三公”经费支出决算情况说明</w:t>
      </w:r>
      <w:r>
        <w:rPr>
          <w:rFonts w:hint="eastAsia" w:ascii="宋体" w:hAnsi="宋体" w:eastAsia="宋体" w:cs="宋体"/>
          <w:color w:val="auto"/>
          <w:sz w:val="24"/>
          <w:highlight w:val="none"/>
        </w:rPr>
        <w:tab/>
      </w:r>
      <w:r>
        <w:rPr>
          <w:rFonts w:hint="eastAsia" w:ascii="宋体" w:hAnsi="宋体" w:cs="宋体"/>
          <w:color w:val="auto"/>
          <w:sz w:val="24"/>
          <w:highlight w:val="none"/>
          <w:lang w:val="en-US" w:eastAsia="zh-CN"/>
        </w:rPr>
        <w:t>9</w:t>
      </w:r>
    </w:p>
    <w:p w14:paraId="724899F0">
      <w:pPr>
        <w:pStyle w:val="13"/>
        <w:adjustRightInd w:val="0"/>
        <w:snapToGrid w:val="0"/>
        <w:spacing w:line="440" w:lineRule="exact"/>
        <w:jc w:val="left"/>
        <w:rPr>
          <w:rFonts w:hint="default" w:ascii="仿宋" w:hAnsi="仿宋" w:eastAsia="宋体" w:cstheme="minorBidi"/>
          <w:sz w:val="24"/>
          <w:lang w:val="en-US" w:eastAsia="zh-CN"/>
        </w:rPr>
      </w:pPr>
      <w:r>
        <w:rPr>
          <w:rFonts w:hint="eastAsia"/>
          <w:sz w:val="24"/>
        </w:rPr>
        <w:t>八、政府性基金预算支出决算情况说明</w:t>
      </w:r>
      <w:r>
        <w:rPr>
          <w:rFonts w:hint="eastAsia" w:ascii="宋体" w:hAnsi="宋体" w:eastAsia="宋体" w:cs="宋体"/>
          <w:color w:val="auto"/>
          <w:sz w:val="24"/>
          <w:highlight w:val="none"/>
        </w:rPr>
        <w:tab/>
      </w:r>
      <w:r>
        <w:rPr>
          <w:rFonts w:hint="eastAsia" w:ascii="宋体" w:hAnsi="宋体" w:cs="宋体"/>
          <w:color w:val="auto"/>
          <w:sz w:val="24"/>
          <w:highlight w:val="none"/>
          <w:lang w:val="en-US" w:eastAsia="zh-CN"/>
        </w:rPr>
        <w:t>10</w:t>
      </w:r>
    </w:p>
    <w:p w14:paraId="59748481">
      <w:pPr>
        <w:pStyle w:val="13"/>
        <w:adjustRightInd w:val="0"/>
        <w:snapToGrid w:val="0"/>
        <w:spacing w:line="440" w:lineRule="exact"/>
        <w:jc w:val="left"/>
        <w:rPr>
          <w:rFonts w:hint="default" w:eastAsia="宋体"/>
          <w:sz w:val="24"/>
          <w:lang w:val="en-US" w:eastAsia="zh-CN"/>
        </w:rPr>
      </w:pPr>
      <w:r>
        <w:rPr>
          <w:rFonts w:hint="eastAsia"/>
          <w:sz w:val="24"/>
        </w:rPr>
        <w:t>九、国有资本经营预算支出决算情况说明</w:t>
      </w:r>
      <w:r>
        <w:rPr>
          <w:rFonts w:hint="eastAsia" w:ascii="宋体" w:hAnsi="宋体" w:eastAsia="宋体" w:cs="宋体"/>
          <w:color w:val="auto"/>
          <w:sz w:val="24"/>
          <w:highlight w:val="none"/>
        </w:rPr>
        <w:tab/>
      </w:r>
      <w:r>
        <w:rPr>
          <w:rFonts w:hint="eastAsia" w:ascii="宋体" w:hAnsi="宋体" w:cs="宋体"/>
          <w:color w:val="auto"/>
          <w:sz w:val="24"/>
          <w:highlight w:val="none"/>
          <w:lang w:val="en-US" w:eastAsia="zh-CN"/>
        </w:rPr>
        <w:t>10</w:t>
      </w:r>
    </w:p>
    <w:p w14:paraId="7417D829">
      <w:pPr>
        <w:pStyle w:val="13"/>
        <w:adjustRightInd w:val="0"/>
        <w:snapToGrid w:val="0"/>
        <w:spacing w:line="440" w:lineRule="exact"/>
        <w:jc w:val="left"/>
        <w:rPr>
          <w:rFonts w:hint="default" w:eastAsia="宋体"/>
          <w:sz w:val="24"/>
          <w:lang w:val="en-US" w:eastAsia="zh-CN"/>
        </w:rPr>
      </w:pPr>
      <w:r>
        <w:rPr>
          <w:rFonts w:hint="eastAsia"/>
          <w:sz w:val="24"/>
        </w:rPr>
        <w:t>十、其他重要事项的情况说明</w:t>
      </w:r>
      <w:r>
        <w:rPr>
          <w:rFonts w:hint="eastAsia" w:ascii="宋体" w:hAnsi="宋体" w:eastAsia="宋体" w:cs="宋体"/>
          <w:color w:val="auto"/>
          <w:sz w:val="24"/>
          <w:highlight w:val="none"/>
        </w:rPr>
        <w:tab/>
      </w:r>
      <w:r>
        <w:rPr>
          <w:rFonts w:hint="eastAsia" w:ascii="宋体" w:hAnsi="宋体" w:cs="宋体"/>
          <w:color w:val="auto"/>
          <w:sz w:val="24"/>
          <w:highlight w:val="none"/>
          <w:lang w:val="en-US" w:eastAsia="zh-CN"/>
        </w:rPr>
        <w:t>10</w:t>
      </w:r>
    </w:p>
    <w:p w14:paraId="0C455D68">
      <w:pPr>
        <w:pStyle w:val="13"/>
        <w:adjustRightInd w:val="0"/>
        <w:snapToGrid w:val="0"/>
        <w:spacing w:line="440" w:lineRule="exact"/>
        <w:jc w:val="left"/>
        <w:rPr>
          <w:rFonts w:hint="default" w:eastAsia="宋体" w:cstheme="minorBidi"/>
          <w:sz w:val="24"/>
          <w:szCs w:val="24"/>
          <w:lang w:val="en-US" w:eastAsia="zh-CN"/>
        </w:rPr>
      </w:pPr>
      <w:r>
        <w:rPr>
          <w:rFonts w:hint="eastAsia"/>
          <w:sz w:val="24"/>
        </w:rPr>
        <w:t>第三部分</w:t>
      </w:r>
      <w:r>
        <w:rPr>
          <w:sz w:val="24"/>
        </w:rPr>
        <w:t xml:space="preserve"> </w:t>
      </w:r>
      <w:r>
        <w:rPr>
          <w:rFonts w:hint="eastAsia"/>
          <w:sz w:val="24"/>
        </w:rPr>
        <w:t>名词解释</w:t>
      </w:r>
      <w:r>
        <w:rPr>
          <w:rFonts w:hint="eastAsia" w:ascii="宋体" w:hAnsi="宋体" w:eastAsia="宋体" w:cs="宋体"/>
          <w:color w:val="auto"/>
          <w:sz w:val="24"/>
          <w:highlight w:val="none"/>
        </w:rPr>
        <w:tab/>
      </w: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2</w:t>
      </w:r>
    </w:p>
    <w:p w14:paraId="507F5FCF">
      <w:pPr>
        <w:pStyle w:val="13"/>
        <w:adjustRightInd w:val="0"/>
        <w:snapToGrid w:val="0"/>
        <w:spacing w:line="440" w:lineRule="exact"/>
        <w:jc w:val="left"/>
        <w:rPr>
          <w:rFonts w:hint="default" w:eastAsia="宋体" w:cstheme="minorBidi"/>
          <w:sz w:val="24"/>
          <w:szCs w:val="24"/>
          <w:lang w:val="en-US" w:eastAsia="zh-CN"/>
        </w:rPr>
      </w:pPr>
      <w:r>
        <w:rPr>
          <w:rFonts w:hint="eastAsia"/>
          <w:sz w:val="24"/>
        </w:rPr>
        <w:t>第四部分</w:t>
      </w:r>
      <w:r>
        <w:rPr>
          <w:sz w:val="24"/>
        </w:rPr>
        <w:t xml:space="preserve"> </w:t>
      </w:r>
      <w:r>
        <w:rPr>
          <w:rFonts w:hint="eastAsia"/>
          <w:sz w:val="24"/>
        </w:rPr>
        <w:t>附件</w:t>
      </w:r>
      <w:r>
        <w:rPr>
          <w:rFonts w:hint="eastAsia" w:ascii="宋体" w:hAnsi="宋体" w:eastAsia="宋体" w:cs="宋体"/>
          <w:color w:val="auto"/>
          <w:sz w:val="24"/>
          <w:highlight w:val="none"/>
        </w:rPr>
        <w:tab/>
      </w: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4</w:t>
      </w:r>
    </w:p>
    <w:p w14:paraId="45894EC4">
      <w:pPr>
        <w:pStyle w:val="13"/>
        <w:adjustRightInd w:val="0"/>
        <w:snapToGrid w:val="0"/>
        <w:spacing w:line="440" w:lineRule="exact"/>
        <w:jc w:val="left"/>
        <w:rPr>
          <w:rFonts w:hint="default" w:eastAsia="宋体" w:cstheme="minorBidi"/>
          <w:sz w:val="24"/>
          <w:szCs w:val="24"/>
          <w:lang w:val="en-US" w:eastAsia="zh-CN"/>
        </w:rPr>
      </w:pPr>
      <w:r>
        <w:rPr>
          <w:rFonts w:hint="eastAsia"/>
          <w:sz w:val="24"/>
        </w:rPr>
        <w:t>第五部分</w:t>
      </w:r>
      <w:r>
        <w:rPr>
          <w:sz w:val="24"/>
        </w:rPr>
        <w:t xml:space="preserve"> </w:t>
      </w:r>
      <w:r>
        <w:rPr>
          <w:rFonts w:hint="eastAsia"/>
          <w:sz w:val="24"/>
        </w:rPr>
        <w:t>附表</w:t>
      </w:r>
      <w:r>
        <w:rPr>
          <w:rFonts w:hint="eastAsia" w:ascii="宋体" w:hAnsi="宋体" w:eastAsia="宋体" w:cs="宋体"/>
          <w:color w:val="auto"/>
          <w:sz w:val="24"/>
          <w:highlight w:val="none"/>
        </w:rPr>
        <w:tab/>
      </w:r>
      <w:r>
        <w:rPr>
          <w:rFonts w:hint="eastAsia" w:ascii="宋体" w:hAnsi="宋体" w:cs="宋体"/>
          <w:color w:val="auto"/>
          <w:sz w:val="24"/>
          <w:highlight w:val="none"/>
          <w:lang w:val="en-US" w:eastAsia="zh-CN"/>
        </w:rPr>
        <w:t>15</w:t>
      </w:r>
    </w:p>
    <w:p w14:paraId="162AA918">
      <w:pPr>
        <w:pStyle w:val="13"/>
        <w:adjustRightInd w:val="0"/>
        <w:snapToGrid w:val="0"/>
        <w:spacing w:line="440" w:lineRule="exact"/>
        <w:jc w:val="left"/>
        <w:rPr>
          <w:sz w:val="24"/>
        </w:rPr>
      </w:pPr>
      <w:r>
        <w:rPr>
          <w:rFonts w:hint="eastAsia"/>
          <w:sz w:val="24"/>
        </w:rPr>
        <w:t>一、收入支出决算总表</w:t>
      </w:r>
    </w:p>
    <w:p w14:paraId="15FF4893">
      <w:pPr>
        <w:pStyle w:val="13"/>
        <w:adjustRightInd w:val="0"/>
        <w:snapToGrid w:val="0"/>
        <w:spacing w:line="440" w:lineRule="exact"/>
        <w:jc w:val="left"/>
        <w:rPr>
          <w:sz w:val="24"/>
        </w:rPr>
      </w:pPr>
      <w:r>
        <w:rPr>
          <w:rFonts w:hint="eastAsia"/>
          <w:sz w:val="24"/>
        </w:rPr>
        <w:t>二、收入决算表</w:t>
      </w:r>
    </w:p>
    <w:p w14:paraId="4C92625A">
      <w:pPr>
        <w:pStyle w:val="13"/>
        <w:adjustRightInd w:val="0"/>
        <w:snapToGrid w:val="0"/>
        <w:spacing w:line="440" w:lineRule="exact"/>
        <w:jc w:val="left"/>
        <w:rPr>
          <w:sz w:val="24"/>
        </w:rPr>
      </w:pPr>
      <w:r>
        <w:rPr>
          <w:rFonts w:hint="eastAsia"/>
          <w:sz w:val="24"/>
        </w:rPr>
        <w:t>三、支出决算表</w:t>
      </w:r>
    </w:p>
    <w:p w14:paraId="1C83E655">
      <w:pPr>
        <w:pStyle w:val="13"/>
        <w:adjustRightInd w:val="0"/>
        <w:snapToGrid w:val="0"/>
        <w:spacing w:line="440" w:lineRule="exact"/>
        <w:jc w:val="left"/>
        <w:rPr>
          <w:sz w:val="24"/>
        </w:rPr>
      </w:pPr>
      <w:r>
        <w:rPr>
          <w:rFonts w:hint="eastAsia"/>
          <w:sz w:val="24"/>
        </w:rPr>
        <w:t>四、财政拨款收入支出决算总表</w:t>
      </w:r>
    </w:p>
    <w:p w14:paraId="741D9CA8">
      <w:pPr>
        <w:pStyle w:val="13"/>
        <w:adjustRightInd w:val="0"/>
        <w:snapToGrid w:val="0"/>
        <w:spacing w:line="440" w:lineRule="exact"/>
        <w:jc w:val="left"/>
        <w:rPr>
          <w:sz w:val="24"/>
        </w:rPr>
      </w:pPr>
      <w:r>
        <w:rPr>
          <w:rFonts w:hint="eastAsia"/>
          <w:sz w:val="24"/>
        </w:rPr>
        <w:t>五、财政拨款支出决算明细表</w:t>
      </w:r>
    </w:p>
    <w:p w14:paraId="318342C4">
      <w:pPr>
        <w:pStyle w:val="13"/>
        <w:adjustRightInd w:val="0"/>
        <w:snapToGrid w:val="0"/>
        <w:spacing w:line="440" w:lineRule="exact"/>
        <w:jc w:val="left"/>
        <w:rPr>
          <w:sz w:val="24"/>
        </w:rPr>
      </w:pPr>
      <w:r>
        <w:rPr>
          <w:rFonts w:hint="eastAsia"/>
          <w:sz w:val="24"/>
        </w:rPr>
        <w:t>六、一般公共预算财政拨款支出决算表</w:t>
      </w:r>
    </w:p>
    <w:p w14:paraId="280842D5">
      <w:pPr>
        <w:pStyle w:val="13"/>
        <w:adjustRightInd w:val="0"/>
        <w:snapToGrid w:val="0"/>
        <w:spacing w:line="440" w:lineRule="exact"/>
        <w:jc w:val="left"/>
        <w:rPr>
          <w:sz w:val="24"/>
        </w:rPr>
      </w:pPr>
      <w:r>
        <w:rPr>
          <w:rFonts w:hint="eastAsia"/>
          <w:sz w:val="24"/>
        </w:rPr>
        <w:t>七、一般公共预算财政拨款支出决算明细表</w:t>
      </w:r>
    </w:p>
    <w:p w14:paraId="2A500F5A">
      <w:pPr>
        <w:pStyle w:val="13"/>
        <w:adjustRightInd w:val="0"/>
        <w:snapToGrid w:val="0"/>
        <w:spacing w:line="440" w:lineRule="exact"/>
        <w:jc w:val="left"/>
        <w:rPr>
          <w:sz w:val="24"/>
        </w:rPr>
      </w:pPr>
      <w:r>
        <w:rPr>
          <w:rFonts w:hint="eastAsia"/>
          <w:sz w:val="24"/>
        </w:rPr>
        <w:t>八、一般公共预算财政拨款基本支出决算明细表</w:t>
      </w:r>
    </w:p>
    <w:p w14:paraId="46B49801">
      <w:pPr>
        <w:pStyle w:val="13"/>
        <w:adjustRightInd w:val="0"/>
        <w:snapToGrid w:val="0"/>
        <w:spacing w:line="440" w:lineRule="exact"/>
        <w:jc w:val="left"/>
        <w:rPr>
          <w:sz w:val="24"/>
        </w:rPr>
      </w:pPr>
      <w:r>
        <w:rPr>
          <w:rFonts w:hint="eastAsia"/>
          <w:sz w:val="24"/>
        </w:rPr>
        <w:t>九、一般公共预算财政拨款项目支出决算表</w:t>
      </w:r>
    </w:p>
    <w:p w14:paraId="46AF218F">
      <w:pPr>
        <w:pStyle w:val="13"/>
        <w:adjustRightInd w:val="0"/>
        <w:snapToGrid w:val="0"/>
        <w:spacing w:line="440" w:lineRule="exact"/>
        <w:jc w:val="left"/>
        <w:rPr>
          <w:sz w:val="24"/>
        </w:rPr>
      </w:pPr>
      <w:r>
        <w:rPr>
          <w:rFonts w:hint="eastAsia"/>
          <w:sz w:val="24"/>
        </w:rPr>
        <w:t>十、政府性基金预算财政拨款收入支出决算表</w:t>
      </w:r>
    </w:p>
    <w:p w14:paraId="73C46C31">
      <w:pPr>
        <w:pStyle w:val="13"/>
        <w:adjustRightInd w:val="0"/>
        <w:snapToGrid w:val="0"/>
        <w:spacing w:line="440" w:lineRule="exact"/>
        <w:jc w:val="left"/>
        <w:rPr>
          <w:sz w:val="24"/>
        </w:rPr>
      </w:pPr>
      <w:r>
        <w:rPr>
          <w:rFonts w:hint="eastAsia"/>
          <w:sz w:val="24"/>
        </w:rPr>
        <w:t>十一、国有资本经营预算财政拨款收入支出决算表</w:t>
      </w:r>
    </w:p>
    <w:p w14:paraId="0DC41B3F">
      <w:pPr>
        <w:pStyle w:val="13"/>
        <w:adjustRightInd w:val="0"/>
        <w:snapToGrid w:val="0"/>
        <w:spacing w:line="440" w:lineRule="exact"/>
        <w:jc w:val="left"/>
        <w:rPr>
          <w:sz w:val="24"/>
        </w:rPr>
      </w:pPr>
      <w:r>
        <w:rPr>
          <w:rFonts w:hint="eastAsia"/>
          <w:sz w:val="24"/>
        </w:rPr>
        <w:t>十二、国有资本经营预算财政拨款支出决算表</w:t>
      </w:r>
    </w:p>
    <w:p w14:paraId="37CF0E13">
      <w:pPr>
        <w:pStyle w:val="13"/>
        <w:adjustRightInd w:val="0"/>
        <w:snapToGrid w:val="0"/>
        <w:spacing w:line="440" w:lineRule="exact"/>
        <w:jc w:val="left"/>
        <w:rPr>
          <w:rFonts w:ascii="仿宋" w:hAnsi="仿宋" w:eastAsia="仿宋"/>
          <w:sz w:val="24"/>
        </w:rPr>
      </w:pPr>
      <w:r>
        <w:rPr>
          <w:rFonts w:hint="eastAsia"/>
          <w:sz w:val="24"/>
        </w:rPr>
        <w:t>十三、财政拨款“三公”经费支出决算表</w:t>
      </w:r>
    </w:p>
    <w:p w14:paraId="104712BF">
      <w:pPr>
        <w:widowControl/>
        <w:spacing w:line="440" w:lineRule="exact"/>
        <w:jc w:val="left"/>
        <w:rPr>
          <w:rFonts w:ascii="仿宋" w:hAnsi="仿宋" w:eastAsia="仿宋"/>
          <w:bCs/>
          <w:kern w:val="44"/>
          <w:sz w:val="24"/>
          <w:u w:val="single"/>
        </w:rPr>
      </w:pPr>
      <w:bookmarkStart w:id="12" w:name="_Toc15377196"/>
      <w:bookmarkStart w:id="13" w:name="_Toc15396599"/>
      <w:r>
        <w:rPr>
          <w:rFonts w:ascii="仿宋" w:hAnsi="仿宋" w:eastAsia="仿宋"/>
          <w:b/>
          <w:sz w:val="24"/>
          <w:u w:val="single"/>
        </w:rPr>
        <w:br w:type="page"/>
      </w:r>
    </w:p>
    <w:p w14:paraId="75093D96">
      <w:pPr>
        <w:pStyle w:val="3"/>
        <w:jc w:val="center"/>
        <w:rPr>
          <w:rStyle w:val="29"/>
          <w:rFonts w:ascii="黑体" w:hAnsi="黑体" w:eastAsia="黑体"/>
          <w:b/>
          <w:bCs w:val="0"/>
        </w:rPr>
      </w:pPr>
      <w:r>
        <w:rPr>
          <w:rFonts w:hint="eastAsia" w:ascii="黑体" w:hAnsi="黑体" w:eastAsia="黑体"/>
          <w:b w:val="0"/>
        </w:rPr>
        <w:t>第一部分 单位</w:t>
      </w:r>
      <w:r>
        <w:rPr>
          <w:rStyle w:val="29"/>
          <w:rFonts w:hint="eastAsia" w:ascii="黑体" w:hAnsi="黑体" w:eastAsia="黑体"/>
          <w:b w:val="0"/>
          <w:bCs w:val="0"/>
        </w:rPr>
        <w:t>概况</w:t>
      </w:r>
      <w:bookmarkEnd w:id="12"/>
      <w:bookmarkEnd w:id="13"/>
    </w:p>
    <w:p w14:paraId="3DE07513">
      <w:pPr>
        <w:widowControl/>
        <w:jc w:val="left"/>
        <w:rPr>
          <w:rFonts w:ascii="黑体" w:eastAsia="黑体"/>
          <w:sz w:val="32"/>
          <w:szCs w:val="32"/>
        </w:rPr>
      </w:pPr>
    </w:p>
    <w:p w14:paraId="0839FDFD">
      <w:pPr>
        <w:pStyle w:val="4"/>
        <w:numPr>
          <w:ilvl w:val="0"/>
          <w:numId w:val="1"/>
        </w:numPr>
        <w:rPr>
          <w:rStyle w:val="30"/>
          <w:rFonts w:ascii="黑体" w:hAnsi="黑体" w:eastAsia="黑体"/>
          <w:b w:val="0"/>
          <w:bCs w:val="0"/>
        </w:rPr>
      </w:pPr>
      <w:bookmarkStart w:id="14" w:name="_Toc15396600"/>
      <w:bookmarkStart w:id="15" w:name="_Toc15377197"/>
      <w:r>
        <w:rPr>
          <w:rStyle w:val="30"/>
          <w:rFonts w:hint="eastAsia" w:ascii="黑体" w:hAnsi="黑体" w:eastAsia="黑体"/>
          <w:b w:val="0"/>
          <w:bCs w:val="0"/>
        </w:rPr>
        <w:t>主要职责</w:t>
      </w:r>
    </w:p>
    <w:p w14:paraId="0185AE73">
      <w:pPr>
        <w:spacing w:line="600" w:lineRule="exact"/>
        <w:ind w:firstLine="600" w:firstLineChars="200"/>
        <w:rPr>
          <w:rStyle w:val="35"/>
          <w:rFonts w:hint="eastAsia" w:ascii="仿宋_GB2312" w:hAnsi="仿宋_GB2312" w:eastAsia="仿宋_GB2312" w:cs="仿宋_GB2312"/>
          <w:color w:val="000000"/>
          <w:kern w:val="0"/>
          <w:sz w:val="30"/>
          <w:szCs w:val="30"/>
          <w:lang w:val="en-US" w:eastAsia="zh-CN" w:bidi="ar-SA"/>
        </w:rPr>
      </w:pPr>
      <w:r>
        <w:rPr>
          <w:rStyle w:val="35"/>
          <w:rFonts w:hint="eastAsia" w:ascii="仿宋_GB2312" w:hAnsi="仿宋_GB2312" w:eastAsia="仿宋_GB2312" w:cs="仿宋_GB2312"/>
          <w:color w:val="000000"/>
          <w:kern w:val="0"/>
          <w:sz w:val="30"/>
          <w:szCs w:val="30"/>
          <w:lang w:val="en-US" w:eastAsia="zh-CN" w:bidi="ar-SA"/>
        </w:rPr>
        <w:t>1.实施学前教育，促进基础教育发展。</w:t>
      </w:r>
    </w:p>
    <w:p w14:paraId="27FA77E1">
      <w:pPr>
        <w:spacing w:line="600" w:lineRule="exact"/>
        <w:ind w:firstLine="600" w:firstLineChars="200"/>
        <w:rPr>
          <w:rStyle w:val="35"/>
          <w:rFonts w:hint="eastAsia" w:ascii="仿宋_GB2312" w:hAnsi="仿宋_GB2312" w:eastAsia="仿宋_GB2312" w:cs="仿宋_GB2312"/>
          <w:color w:val="000000"/>
          <w:kern w:val="0"/>
          <w:sz w:val="30"/>
          <w:szCs w:val="30"/>
          <w:lang w:val="en-US" w:eastAsia="zh-CN" w:bidi="ar-SA"/>
        </w:rPr>
      </w:pPr>
      <w:r>
        <w:rPr>
          <w:rStyle w:val="35"/>
          <w:rFonts w:hint="eastAsia" w:ascii="仿宋_GB2312" w:hAnsi="仿宋_GB2312" w:eastAsia="仿宋_GB2312" w:cs="仿宋_GB2312"/>
          <w:color w:val="000000"/>
          <w:kern w:val="0"/>
          <w:sz w:val="30"/>
          <w:szCs w:val="30"/>
          <w:lang w:val="en-US" w:eastAsia="zh-CN" w:bidi="ar-SA"/>
        </w:rPr>
        <w:t>2.实施开展好辖区内适龄儿童的学前教育，推动学校教育教学工作顺利进行，完成年度教育教学任务。</w:t>
      </w:r>
    </w:p>
    <w:p w14:paraId="533104B4">
      <w:pPr>
        <w:spacing w:line="600" w:lineRule="exact"/>
        <w:ind w:firstLine="600" w:firstLineChars="200"/>
        <w:rPr>
          <w:rStyle w:val="35"/>
          <w:rFonts w:hint="eastAsia" w:ascii="仿宋_GB2312" w:hAnsi="仿宋_GB2312" w:eastAsia="仿宋_GB2312" w:cs="仿宋_GB2312"/>
          <w:color w:val="000000"/>
          <w:kern w:val="0"/>
          <w:sz w:val="30"/>
          <w:szCs w:val="30"/>
          <w:lang w:val="en-US" w:eastAsia="zh-CN" w:bidi="ar-SA"/>
        </w:rPr>
      </w:pPr>
      <w:r>
        <w:rPr>
          <w:rStyle w:val="35"/>
          <w:rFonts w:hint="eastAsia" w:ascii="仿宋_GB2312" w:hAnsi="仿宋_GB2312" w:eastAsia="仿宋_GB2312" w:cs="仿宋_GB2312"/>
          <w:color w:val="000000"/>
          <w:kern w:val="0"/>
          <w:sz w:val="30"/>
          <w:szCs w:val="30"/>
          <w:lang w:val="en-US" w:eastAsia="zh-CN" w:bidi="ar-SA"/>
        </w:rPr>
        <w:t>3.加强学校管理和教师队伍建设，提升教育教学质量。</w:t>
      </w:r>
    </w:p>
    <w:p w14:paraId="3A575AE3">
      <w:pPr>
        <w:spacing w:line="600" w:lineRule="exact"/>
        <w:ind w:firstLine="600" w:firstLineChars="200"/>
        <w:rPr>
          <w:rStyle w:val="35"/>
          <w:rFonts w:hint="eastAsia" w:ascii="仿宋_GB2312" w:hAnsi="仿宋_GB2312" w:eastAsia="仿宋_GB2312" w:cs="仿宋_GB2312"/>
          <w:color w:val="000000"/>
          <w:kern w:val="0"/>
          <w:sz w:val="30"/>
          <w:szCs w:val="30"/>
          <w:lang w:val="en-US" w:eastAsia="zh-CN" w:bidi="ar-SA"/>
        </w:rPr>
      </w:pPr>
      <w:r>
        <w:rPr>
          <w:rStyle w:val="35"/>
          <w:rFonts w:hint="eastAsia" w:ascii="仿宋_GB2312" w:hAnsi="仿宋_GB2312" w:eastAsia="仿宋_GB2312" w:cs="仿宋_GB2312"/>
          <w:color w:val="000000"/>
          <w:kern w:val="0"/>
          <w:sz w:val="30"/>
          <w:szCs w:val="30"/>
          <w:lang w:val="en-US" w:eastAsia="zh-CN" w:bidi="ar-SA"/>
        </w:rPr>
        <w:t>4.履行学校教育教学职责，探究农村留守儿童教育管理策略，促进留守儿童身心健康发展。</w:t>
      </w:r>
    </w:p>
    <w:p w14:paraId="4FAB2C55">
      <w:pPr>
        <w:spacing w:line="600" w:lineRule="exact"/>
        <w:ind w:firstLine="600" w:firstLineChars="200"/>
      </w:pPr>
      <w:r>
        <w:rPr>
          <w:rStyle w:val="35"/>
          <w:rFonts w:hint="eastAsia" w:ascii="仿宋_GB2312" w:hAnsi="仿宋_GB2312" w:eastAsia="仿宋_GB2312" w:cs="仿宋_GB2312"/>
          <w:color w:val="000000"/>
          <w:kern w:val="0"/>
          <w:sz w:val="30"/>
          <w:szCs w:val="30"/>
          <w:lang w:val="en-US" w:eastAsia="zh-CN" w:bidi="ar-SA"/>
        </w:rPr>
        <w:t>5.其他相关社会服务工作。</w:t>
      </w:r>
    </w:p>
    <w:p w14:paraId="7B06BC0D">
      <w:pPr>
        <w:pStyle w:val="4"/>
        <w:rPr>
          <w:rFonts w:ascii="黑体" w:hAnsi="黑体" w:eastAsia="黑体"/>
          <w:b w:val="0"/>
        </w:rPr>
      </w:pPr>
      <w:r>
        <w:rPr>
          <w:rFonts w:hint="eastAsia" w:ascii="黑体" w:hAnsi="黑体" w:eastAsia="黑体"/>
          <w:b w:val="0"/>
        </w:rPr>
        <w:t>二、机构设置</w:t>
      </w:r>
    </w:p>
    <w:bookmarkEnd w:id="14"/>
    <w:bookmarkEnd w:id="15"/>
    <w:p w14:paraId="2FF32A7B">
      <w:pPr>
        <w:spacing w:line="600" w:lineRule="exact"/>
        <w:ind w:firstLine="600" w:firstLineChars="200"/>
        <w:rPr>
          <w:rStyle w:val="35"/>
          <w:rFonts w:hint="eastAsia" w:ascii="仿宋_GB2312" w:hAnsi="仿宋_GB2312" w:eastAsia="仿宋_GB2312" w:cs="仿宋_GB2312"/>
          <w:color w:val="000000"/>
          <w:kern w:val="0"/>
          <w:sz w:val="30"/>
          <w:szCs w:val="30"/>
          <w:lang w:val="en-US" w:eastAsia="zh-CN" w:bidi="ar-SA"/>
        </w:rPr>
      </w:pPr>
      <w:r>
        <w:rPr>
          <w:rStyle w:val="35"/>
          <w:rFonts w:hint="eastAsia" w:ascii="仿宋_GB2312" w:hAnsi="仿宋_GB2312" w:eastAsia="仿宋_GB2312" w:cs="仿宋_GB2312"/>
          <w:color w:val="000000"/>
          <w:kern w:val="0"/>
          <w:sz w:val="30"/>
          <w:szCs w:val="30"/>
          <w:lang w:val="en-US" w:eastAsia="zh-CN" w:bidi="ar-SA"/>
        </w:rPr>
        <w:t>金华一幼下属二级预算单位0个，其中行政单位0个，参照公务员法管理的事业单位0个，其他事业单位0个。</w:t>
      </w:r>
    </w:p>
    <w:p w14:paraId="1BD8D1B1">
      <w:pPr>
        <w:widowControl/>
        <w:jc w:val="left"/>
        <w:rPr>
          <w:rFonts w:ascii="仿宋" w:hAnsi="仿宋" w:eastAsia="仿宋"/>
          <w:kern w:val="0"/>
          <w:sz w:val="32"/>
          <w:szCs w:val="32"/>
        </w:rPr>
      </w:pPr>
      <w:r>
        <w:rPr>
          <w:rFonts w:ascii="仿宋" w:hAnsi="仿宋" w:eastAsia="仿宋"/>
          <w:sz w:val="32"/>
          <w:szCs w:val="32"/>
        </w:rPr>
        <w:br w:type="page"/>
      </w:r>
    </w:p>
    <w:p w14:paraId="3BA2D54B">
      <w:pPr>
        <w:pStyle w:val="3"/>
        <w:ind w:right="440"/>
        <w:jc w:val="center"/>
      </w:pPr>
      <w:bookmarkStart w:id="16" w:name="_Toc15377204"/>
      <w:bookmarkStart w:id="17" w:name="_Toc15396602"/>
      <w:r>
        <w:rPr>
          <w:rFonts w:hint="eastAsia" w:ascii="黑体" w:hAnsi="黑体" w:eastAsia="黑体"/>
          <w:b w:val="0"/>
        </w:rPr>
        <w:t>第二部分 2023年度</w:t>
      </w:r>
      <w:r>
        <w:rPr>
          <w:rStyle w:val="29"/>
          <w:rFonts w:hint="eastAsia" w:ascii="黑体" w:hAnsi="黑体" w:eastAsia="黑体"/>
          <w:b w:val="0"/>
          <w:bCs/>
        </w:rPr>
        <w:t>单位决算情况说明</w:t>
      </w:r>
      <w:bookmarkEnd w:id="16"/>
      <w:bookmarkEnd w:id="17"/>
    </w:p>
    <w:p w14:paraId="3053D4A2">
      <w:pPr>
        <w:pStyle w:val="28"/>
        <w:numPr>
          <w:ilvl w:val="0"/>
          <w:numId w:val="2"/>
        </w:numPr>
        <w:spacing w:line="600" w:lineRule="exact"/>
        <w:ind w:firstLineChars="0"/>
        <w:outlineLvl w:val="1"/>
        <w:rPr>
          <w:rStyle w:val="30"/>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30"/>
          <w:rFonts w:hint="eastAsia" w:ascii="黑体" w:hAnsi="黑体" w:eastAsia="黑体"/>
          <w:b w:val="0"/>
        </w:rPr>
        <w:t>入支出决算总体情况说明</w:t>
      </w:r>
      <w:bookmarkEnd w:id="18"/>
      <w:bookmarkEnd w:id="19"/>
    </w:p>
    <w:p w14:paraId="40DD0371">
      <w:pPr>
        <w:spacing w:line="600" w:lineRule="exact"/>
        <w:ind w:firstLine="640" w:firstLineChars="200"/>
        <w:rPr>
          <w:rFonts w:ascii="仿宋" w:hAnsi="仿宋" w:eastAsia="仿宋"/>
          <w:sz w:val="32"/>
          <w:szCs w:val="32"/>
        </w:rPr>
      </w:pPr>
      <w:r>
        <w:rPr>
          <w:rFonts w:hint="eastAsia" w:ascii="仿宋" w:hAnsi="仿宋" w:eastAsia="仿宋"/>
          <w:sz w:val="32"/>
          <w:szCs w:val="32"/>
        </w:rPr>
        <w:t>2023年度收、支总计均为</w:t>
      </w:r>
      <w:r>
        <w:rPr>
          <w:rFonts w:hint="eastAsia" w:ascii="仿宋" w:hAnsi="仿宋" w:eastAsia="仿宋"/>
          <w:b/>
          <w:sz w:val="32"/>
          <w:szCs w:val="32"/>
        </w:rPr>
        <w:t>443.58</w:t>
      </w:r>
      <w:r>
        <w:rPr>
          <w:rFonts w:hint="eastAsia" w:ascii="仿宋" w:hAnsi="仿宋" w:eastAsia="仿宋"/>
          <w:sz w:val="32"/>
          <w:szCs w:val="32"/>
        </w:rPr>
        <w:t>万元。与2022年度相比，收、支总计各减少</w:t>
      </w:r>
      <w:r>
        <w:rPr>
          <w:rFonts w:hint="eastAsia" w:ascii="仿宋" w:hAnsi="仿宋" w:eastAsia="仿宋"/>
          <w:sz w:val="32"/>
          <w:szCs w:val="32"/>
          <w:lang w:val="en-US" w:eastAsia="zh-CN"/>
        </w:rPr>
        <w:t>1.3</w:t>
      </w:r>
      <w:r>
        <w:rPr>
          <w:rFonts w:hint="eastAsia" w:ascii="仿宋" w:hAnsi="仿宋" w:eastAsia="仿宋"/>
          <w:sz w:val="32"/>
          <w:szCs w:val="32"/>
        </w:rPr>
        <w:t>万元，下降</w:t>
      </w:r>
      <w:r>
        <w:rPr>
          <w:rFonts w:hint="eastAsia" w:ascii="仿宋" w:hAnsi="仿宋" w:eastAsia="仿宋"/>
          <w:sz w:val="32"/>
          <w:szCs w:val="32"/>
          <w:lang w:val="en-US" w:eastAsia="zh-CN"/>
        </w:rPr>
        <w:t>0.2</w:t>
      </w:r>
      <w:r>
        <w:rPr>
          <w:rFonts w:ascii="仿宋" w:hAnsi="仿宋" w:eastAsia="仿宋"/>
          <w:sz w:val="32"/>
          <w:szCs w:val="32"/>
        </w:rPr>
        <w:t>%</w:t>
      </w:r>
      <w:r>
        <w:rPr>
          <w:rFonts w:hint="eastAsia" w:ascii="仿宋" w:hAnsi="仿宋" w:eastAsia="仿宋"/>
          <w:sz w:val="32"/>
          <w:szCs w:val="32"/>
        </w:rPr>
        <w:t>。主要变动原因</w:t>
      </w:r>
      <w:r>
        <w:rPr>
          <w:rFonts w:hint="eastAsia" w:ascii="仿宋" w:hAnsi="仿宋" w:eastAsia="仿宋"/>
          <w:sz w:val="32"/>
          <w:szCs w:val="32"/>
          <w:lang w:val="en-US" w:eastAsia="zh-CN"/>
        </w:rPr>
        <w:t>教职工减少</w:t>
      </w:r>
      <w:r>
        <w:rPr>
          <w:rFonts w:hint="eastAsia" w:ascii="仿宋" w:hAnsi="仿宋" w:eastAsia="仿宋"/>
          <w:sz w:val="32"/>
          <w:szCs w:val="32"/>
        </w:rPr>
        <w:t>。</w:t>
      </w:r>
    </w:p>
    <w:p w14:paraId="2F338B9C">
      <w:pPr>
        <w:pStyle w:val="19"/>
        <w:rPr>
          <w:rFonts w:hint="eastAsia" w:eastAsia="宋体"/>
          <w:lang w:eastAsia="zh-CN"/>
        </w:rPr>
      </w:pPr>
      <w:r>
        <w:rPr>
          <w:rFonts w:hint="eastAsia" w:eastAsia="宋体"/>
          <w:lang w:eastAsia="zh-CN"/>
        </w:rPr>
        <w:drawing>
          <wp:inline distT="0" distB="0" distL="114300" distR="114300">
            <wp:extent cx="3190875" cy="1694180"/>
            <wp:effectExtent l="5080" t="4445" r="4445" b="1587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2F05D1B">
      <w:pPr>
        <w:pStyle w:val="28"/>
        <w:numPr>
          <w:ilvl w:val="0"/>
          <w:numId w:val="2"/>
        </w:numPr>
        <w:spacing w:line="600" w:lineRule="exact"/>
        <w:ind w:firstLineChars="0"/>
        <w:outlineLvl w:val="1"/>
        <w:rPr>
          <w:rStyle w:val="30"/>
          <w:rFonts w:ascii="黑体" w:hAnsi="黑体" w:eastAsia="黑体"/>
          <w:b w:val="0"/>
        </w:rPr>
      </w:pPr>
      <w:bookmarkStart w:id="20" w:name="_Toc15396604"/>
      <w:bookmarkStart w:id="21" w:name="_Toc15377206"/>
      <w:r>
        <w:rPr>
          <w:rFonts w:hint="eastAsia" w:ascii="黑体" w:hAnsi="黑体" w:eastAsia="黑体"/>
          <w:sz w:val="32"/>
          <w:szCs w:val="32"/>
        </w:rPr>
        <w:t>收</w:t>
      </w:r>
      <w:r>
        <w:rPr>
          <w:rStyle w:val="30"/>
          <w:rFonts w:hint="eastAsia" w:ascii="黑体" w:hAnsi="黑体" w:eastAsia="黑体"/>
          <w:b w:val="0"/>
        </w:rPr>
        <w:t>入决算情况说明</w:t>
      </w:r>
      <w:bookmarkEnd w:id="20"/>
      <w:bookmarkEnd w:id="21"/>
    </w:p>
    <w:p w14:paraId="07FA17A3">
      <w:pPr>
        <w:spacing w:line="600" w:lineRule="exact"/>
        <w:ind w:firstLine="640" w:firstLineChars="200"/>
        <w:outlineLvl w:val="1"/>
        <w:rPr>
          <w:rFonts w:ascii="仿宋" w:hAnsi="仿宋" w:eastAsia="仿宋"/>
          <w:b/>
          <w:sz w:val="32"/>
          <w:szCs w:val="32"/>
        </w:rPr>
      </w:pPr>
      <w:r>
        <w:rPr>
          <w:rFonts w:hint="eastAsia" w:ascii="仿宋" w:hAnsi="仿宋" w:eastAsia="仿宋"/>
          <w:sz w:val="32"/>
          <w:szCs w:val="32"/>
        </w:rPr>
        <w:t>2023年度本年收入合计</w:t>
      </w:r>
      <w:r>
        <w:rPr>
          <w:rFonts w:ascii="仿宋" w:hAnsi="仿宋" w:eastAsia="仿宋"/>
          <w:b/>
          <w:sz w:val="32"/>
          <w:szCs w:val="32"/>
        </w:rPr>
        <w:t>443.58</w:t>
      </w:r>
      <w:r>
        <w:rPr>
          <w:rFonts w:hint="eastAsia" w:ascii="仿宋" w:hAnsi="仿宋" w:eastAsia="仿宋"/>
          <w:sz w:val="32"/>
          <w:szCs w:val="32"/>
        </w:rPr>
        <w:t>万元，其中：一般公共预算财政拨款收入</w:t>
      </w:r>
      <w:r>
        <w:rPr>
          <w:rFonts w:ascii="仿宋" w:hAnsi="仿宋" w:eastAsia="仿宋"/>
          <w:b/>
          <w:sz w:val="32"/>
          <w:szCs w:val="32"/>
        </w:rPr>
        <w:t>443.58</w:t>
      </w:r>
      <w:r>
        <w:rPr>
          <w:rFonts w:hint="eastAsia" w:ascii="仿宋" w:hAnsi="仿宋" w:eastAsia="仿宋"/>
          <w:sz w:val="32"/>
          <w:szCs w:val="32"/>
        </w:rPr>
        <w:t>万元，占</w:t>
      </w:r>
      <w:r>
        <w:rPr>
          <w:rFonts w:ascii="仿宋" w:hAnsi="仿宋" w:eastAsia="仿宋"/>
          <w:b/>
          <w:sz w:val="32"/>
          <w:szCs w:val="32"/>
        </w:rPr>
        <w:t>100%</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p>
    <w:p w14:paraId="25F48CC0">
      <w:pPr>
        <w:spacing w:line="600" w:lineRule="exact"/>
        <w:outlineLvl w:val="1"/>
        <w:rPr>
          <w:rFonts w:hint="eastAsia" w:ascii="仿宋" w:hAnsi="仿宋" w:eastAsia="仿宋"/>
          <w:b/>
          <w:color w:val="auto"/>
          <w:sz w:val="32"/>
          <w:szCs w:val="32"/>
          <w:highlight w:val="none"/>
          <w:lang w:eastAsia="zh-CN"/>
        </w:rPr>
      </w:pP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lang w:eastAsia="zh-CN"/>
        </w:rPr>
        <w:t>。</w:t>
      </w:r>
    </w:p>
    <w:p w14:paraId="226AE30B">
      <w:pPr>
        <w:pStyle w:val="6"/>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lang w:eastAsia="zh-CN"/>
        </w:rPr>
        <w:drawing>
          <wp:inline distT="0" distB="0" distL="114300" distR="114300">
            <wp:extent cx="2249805" cy="1817370"/>
            <wp:effectExtent l="0" t="0" r="17145" b="1143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7"/>
                    <a:srcRect l="23973" r="23998"/>
                    <a:stretch>
                      <a:fillRect/>
                    </a:stretch>
                  </pic:blipFill>
                  <pic:spPr>
                    <a:xfrm>
                      <a:off x="0" y="0"/>
                      <a:ext cx="2249805" cy="1817370"/>
                    </a:xfrm>
                    <a:prstGeom prst="rect">
                      <a:avLst/>
                    </a:prstGeom>
                  </pic:spPr>
                </pic:pic>
              </a:graphicData>
            </a:graphic>
          </wp:inline>
        </w:drawing>
      </w:r>
    </w:p>
    <w:p w14:paraId="69330F09">
      <w:pPr>
        <w:pStyle w:val="28"/>
        <w:numPr>
          <w:ilvl w:val="0"/>
          <w:numId w:val="2"/>
        </w:numPr>
        <w:spacing w:line="600" w:lineRule="exact"/>
        <w:ind w:firstLineChars="0"/>
        <w:outlineLvl w:val="1"/>
        <w:rPr>
          <w:rStyle w:val="30"/>
          <w:rFonts w:ascii="黑体" w:hAnsi="黑体" w:eastAsia="黑体"/>
          <w:b w:val="0"/>
        </w:rPr>
      </w:pPr>
      <w:bookmarkStart w:id="22" w:name="_Toc15396605"/>
      <w:bookmarkStart w:id="23" w:name="_Toc15377207"/>
      <w:r>
        <w:rPr>
          <w:rFonts w:hint="eastAsia" w:ascii="黑体" w:hAnsi="黑体" w:eastAsia="黑体"/>
          <w:sz w:val="32"/>
          <w:szCs w:val="32"/>
        </w:rPr>
        <w:t>支</w:t>
      </w:r>
      <w:r>
        <w:rPr>
          <w:rStyle w:val="30"/>
          <w:rFonts w:hint="eastAsia" w:ascii="黑体" w:hAnsi="黑体" w:eastAsia="黑体"/>
          <w:b w:val="0"/>
        </w:rPr>
        <w:t>出决算情况说明</w:t>
      </w:r>
      <w:bookmarkEnd w:id="22"/>
      <w:bookmarkEnd w:id="23"/>
    </w:p>
    <w:p w14:paraId="6C8BB632">
      <w:pPr>
        <w:spacing w:line="600" w:lineRule="exact"/>
        <w:ind w:firstLine="640" w:firstLineChars="200"/>
        <w:outlineLvl w:val="1"/>
        <w:rPr>
          <w:rFonts w:ascii="仿宋" w:hAnsi="仿宋" w:eastAsia="仿宋"/>
          <w:sz w:val="32"/>
          <w:szCs w:val="32"/>
          <w:shd w:val="pct10" w:color="auto" w:fill="FFFFFF"/>
        </w:rPr>
      </w:pPr>
      <w:r>
        <w:rPr>
          <w:rFonts w:hint="eastAsia" w:ascii="仿宋" w:hAnsi="仿宋" w:eastAsia="仿宋"/>
          <w:sz w:val="32"/>
          <w:szCs w:val="32"/>
        </w:rPr>
        <w:t>2023年度本年支出合计</w:t>
      </w:r>
      <w:r>
        <w:rPr>
          <w:rFonts w:ascii="仿宋" w:hAnsi="仿宋" w:eastAsia="仿宋"/>
          <w:b/>
          <w:sz w:val="32"/>
          <w:szCs w:val="32"/>
        </w:rPr>
        <w:t>443.58</w:t>
      </w:r>
      <w:r>
        <w:rPr>
          <w:rFonts w:hint="eastAsia" w:ascii="仿宋" w:hAnsi="仿宋" w:eastAsia="仿宋"/>
          <w:sz w:val="32"/>
          <w:szCs w:val="32"/>
        </w:rPr>
        <w:t>万元，其中：基本支出</w:t>
      </w:r>
      <w:r>
        <w:rPr>
          <w:rFonts w:ascii="仿宋" w:hAnsi="仿宋" w:eastAsia="仿宋"/>
          <w:b/>
          <w:sz w:val="32"/>
          <w:szCs w:val="32"/>
        </w:rPr>
        <w:t>443.58</w:t>
      </w:r>
      <w:r>
        <w:rPr>
          <w:rFonts w:hint="eastAsia" w:ascii="仿宋" w:hAnsi="仿宋" w:eastAsia="仿宋"/>
          <w:sz w:val="32"/>
          <w:szCs w:val="32"/>
        </w:rPr>
        <w:t>万元，占</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p>
    <w:p w14:paraId="47815DBB">
      <w:pPr>
        <w:pStyle w:val="19"/>
      </w:pPr>
      <w:r>
        <w:rPr>
          <w:rFonts w:hint="eastAsia" w:ascii="仿宋" w:hAnsi="仿宋" w:eastAsia="仿宋"/>
          <w:sz w:val="32"/>
          <w:szCs w:val="32"/>
          <w:shd w:val="pct10" w:color="auto" w:fill="FFFFFF"/>
          <w:lang w:eastAsia="zh-CN"/>
        </w:rPr>
        <w:drawing>
          <wp:inline distT="0" distB="0" distL="114300" distR="114300">
            <wp:extent cx="5256530" cy="2988310"/>
            <wp:effectExtent l="5080" t="4445" r="1524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23275B">
      <w:pPr>
        <w:spacing w:line="600" w:lineRule="exact"/>
        <w:ind w:firstLine="640" w:firstLineChars="200"/>
        <w:outlineLvl w:val="1"/>
        <w:rPr>
          <w:rStyle w:val="30"/>
          <w:rFonts w:ascii="黑体" w:hAnsi="黑体" w:eastAsia="黑体"/>
          <w:b w:val="0"/>
        </w:rPr>
      </w:pPr>
      <w:bookmarkStart w:id="24" w:name="_Toc15377208"/>
      <w:bookmarkStart w:id="25" w:name="_Toc15396606"/>
      <w:r>
        <w:rPr>
          <w:rFonts w:hint="eastAsia" w:ascii="黑体" w:hAnsi="黑体" w:eastAsia="黑体"/>
          <w:sz w:val="32"/>
          <w:szCs w:val="32"/>
        </w:rPr>
        <w:t>四、财</w:t>
      </w:r>
      <w:r>
        <w:rPr>
          <w:rStyle w:val="30"/>
          <w:rFonts w:hint="eastAsia" w:ascii="黑体" w:hAnsi="黑体" w:eastAsia="黑体"/>
          <w:b w:val="0"/>
        </w:rPr>
        <w:t>政拨款收入支出决算总体情况说明</w:t>
      </w:r>
      <w:bookmarkEnd w:id="24"/>
      <w:bookmarkEnd w:id="25"/>
    </w:p>
    <w:p w14:paraId="0686B106">
      <w:pPr>
        <w:spacing w:line="600" w:lineRule="exact"/>
        <w:ind w:firstLine="640"/>
        <w:rPr>
          <w:rFonts w:ascii="仿宋" w:hAnsi="仿宋" w:eastAsia="仿宋"/>
          <w:sz w:val="32"/>
          <w:szCs w:val="32"/>
        </w:rPr>
      </w:pPr>
      <w:r>
        <w:rPr>
          <w:rFonts w:hint="eastAsia" w:ascii="仿宋" w:hAnsi="仿宋" w:eastAsia="仿宋"/>
          <w:sz w:val="32"/>
          <w:szCs w:val="32"/>
        </w:rPr>
        <w:t>2023年度财政拨款收、支总计均为</w:t>
      </w:r>
      <w:r>
        <w:rPr>
          <w:rFonts w:ascii="仿宋" w:hAnsi="仿宋" w:eastAsia="仿宋"/>
          <w:b/>
          <w:sz w:val="32"/>
          <w:szCs w:val="32"/>
        </w:rPr>
        <w:t>443.58</w:t>
      </w:r>
      <w:r>
        <w:rPr>
          <w:rFonts w:hint="eastAsia" w:ascii="仿宋" w:hAnsi="仿宋" w:eastAsia="仿宋"/>
          <w:sz w:val="32"/>
          <w:szCs w:val="32"/>
        </w:rPr>
        <w:t>万元。与2022年度相比，财政拨款收、支总计各减少</w:t>
      </w:r>
      <w:r>
        <w:rPr>
          <w:rFonts w:hint="eastAsia" w:ascii="仿宋" w:hAnsi="仿宋" w:eastAsia="仿宋"/>
          <w:sz w:val="32"/>
          <w:szCs w:val="32"/>
          <w:lang w:val="en-US" w:eastAsia="zh-CN"/>
        </w:rPr>
        <w:t>1.3</w:t>
      </w:r>
      <w:r>
        <w:rPr>
          <w:rFonts w:hint="eastAsia" w:ascii="仿宋" w:hAnsi="仿宋" w:eastAsia="仿宋"/>
          <w:sz w:val="32"/>
          <w:szCs w:val="32"/>
        </w:rPr>
        <w:t>万元，下降</w:t>
      </w:r>
      <w:r>
        <w:rPr>
          <w:rFonts w:hint="eastAsia" w:ascii="仿宋" w:hAnsi="仿宋" w:eastAsia="仿宋"/>
          <w:sz w:val="32"/>
          <w:szCs w:val="32"/>
          <w:lang w:val="en-US" w:eastAsia="zh-CN"/>
        </w:rPr>
        <w:t>0.2</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教职工减少。</w:t>
      </w:r>
    </w:p>
    <w:p w14:paraId="6AC3BA6B">
      <w:pPr>
        <w:pStyle w:val="19"/>
        <w:rPr>
          <w:rFonts w:ascii="仿宋" w:hAnsi="仿宋" w:eastAsia="仿宋"/>
          <w:sz w:val="32"/>
          <w:szCs w:val="32"/>
        </w:rPr>
      </w:pPr>
      <w:r>
        <w:rPr>
          <w:rFonts w:hint="eastAsia" w:ascii="仿宋" w:hAnsi="仿宋" w:eastAsia="仿宋"/>
          <w:sz w:val="32"/>
          <w:szCs w:val="32"/>
          <w:lang w:eastAsia="zh-CN"/>
        </w:rPr>
        <w:drawing>
          <wp:inline distT="0" distB="0" distL="114300" distR="114300">
            <wp:extent cx="4684395" cy="1864360"/>
            <wp:effectExtent l="4445" t="4445" r="16510"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319AD2">
      <w:pPr>
        <w:spacing w:line="600" w:lineRule="exact"/>
        <w:ind w:firstLine="640" w:firstLineChars="200"/>
        <w:outlineLvl w:val="1"/>
        <w:rPr>
          <w:rStyle w:val="30"/>
          <w:rFonts w:ascii="黑体" w:hAnsi="黑体" w:eastAsia="黑体"/>
          <w:b w:val="0"/>
        </w:rPr>
      </w:pPr>
      <w:bookmarkStart w:id="26" w:name="_Toc15396607"/>
      <w:bookmarkStart w:id="27" w:name="_Toc15377209"/>
      <w:r>
        <w:rPr>
          <w:rFonts w:hint="eastAsia" w:ascii="黑体" w:hAnsi="黑体" w:eastAsia="黑体"/>
          <w:sz w:val="32"/>
          <w:szCs w:val="32"/>
        </w:rPr>
        <w:t>五、</w:t>
      </w:r>
      <w:r>
        <w:rPr>
          <w:rFonts w:hint="eastAsia" w:ascii="黑体" w:hAnsi="黑体" w:eastAsia="黑体"/>
          <w:b/>
          <w:sz w:val="32"/>
          <w:szCs w:val="32"/>
        </w:rPr>
        <w:t>一</w:t>
      </w:r>
      <w:r>
        <w:rPr>
          <w:rStyle w:val="30"/>
          <w:rFonts w:hint="eastAsia" w:ascii="黑体" w:hAnsi="黑体" w:eastAsia="黑体"/>
          <w:b w:val="0"/>
        </w:rPr>
        <w:t>般公共预算财政拨款支出决算情况说明</w:t>
      </w:r>
      <w:bookmarkEnd w:id="26"/>
      <w:bookmarkEnd w:id="27"/>
    </w:p>
    <w:p w14:paraId="29FC1888">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70628646">
      <w:pPr>
        <w:spacing w:line="600" w:lineRule="exact"/>
        <w:ind w:firstLine="640" w:firstLineChars="200"/>
        <w:rPr>
          <w:rFonts w:hint="default" w:ascii="仿宋" w:hAnsi="仿宋" w:eastAsia="仿宋"/>
          <w:sz w:val="32"/>
          <w:szCs w:val="32"/>
          <w:lang w:val="en-US" w:eastAsia="zh-CN"/>
        </w:rPr>
      </w:pPr>
      <w:r>
        <w:rPr>
          <w:rFonts w:hint="eastAsia" w:ascii="仿宋" w:hAnsi="仿宋" w:eastAsia="仿宋"/>
          <w:sz w:val="32"/>
          <w:szCs w:val="32"/>
        </w:rPr>
        <w:t>2023年度一般公共预算财政拨款支出</w:t>
      </w:r>
      <w:r>
        <w:rPr>
          <w:rFonts w:ascii="仿宋" w:hAnsi="仿宋" w:eastAsia="仿宋"/>
          <w:b/>
          <w:sz w:val="32"/>
          <w:szCs w:val="32"/>
        </w:rPr>
        <w:t>443.58</w:t>
      </w:r>
      <w:r>
        <w:rPr>
          <w:rFonts w:hint="eastAsia" w:ascii="仿宋" w:hAnsi="仿宋" w:eastAsia="仿宋"/>
          <w:sz w:val="32"/>
          <w:szCs w:val="32"/>
        </w:rPr>
        <w:t>万元，占本年支出合计的</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。与2022年度相比，一般公共预算财政拨款支出减少</w:t>
      </w:r>
      <w:r>
        <w:rPr>
          <w:rFonts w:hint="eastAsia" w:ascii="仿宋" w:hAnsi="仿宋" w:eastAsia="仿宋"/>
          <w:sz w:val="32"/>
          <w:szCs w:val="32"/>
          <w:lang w:val="en-US" w:eastAsia="zh-CN"/>
        </w:rPr>
        <w:t>1.3</w:t>
      </w:r>
      <w:r>
        <w:rPr>
          <w:rFonts w:hint="eastAsia" w:ascii="仿宋" w:hAnsi="仿宋" w:eastAsia="仿宋"/>
          <w:sz w:val="32"/>
          <w:szCs w:val="32"/>
        </w:rPr>
        <w:t>万元，下降</w:t>
      </w:r>
      <w:r>
        <w:rPr>
          <w:rFonts w:hint="eastAsia" w:ascii="仿宋" w:hAnsi="仿宋" w:eastAsia="仿宋"/>
          <w:sz w:val="32"/>
          <w:szCs w:val="32"/>
          <w:lang w:val="en-US" w:eastAsia="zh-CN"/>
        </w:rPr>
        <w:t>0.2</w:t>
      </w:r>
      <w:r>
        <w:rPr>
          <w:rFonts w:ascii="仿宋" w:hAnsi="仿宋" w:eastAsia="仿宋"/>
          <w:sz w:val="32"/>
          <w:szCs w:val="32"/>
        </w:rPr>
        <w:t>%</w:t>
      </w:r>
      <w:r>
        <w:rPr>
          <w:rFonts w:hint="eastAsia" w:ascii="仿宋" w:hAnsi="仿宋" w:eastAsia="仿宋"/>
          <w:sz w:val="32"/>
          <w:szCs w:val="32"/>
        </w:rPr>
        <w:t>。主要变动原因</w:t>
      </w:r>
      <w:r>
        <w:rPr>
          <w:rFonts w:hint="eastAsia" w:ascii="仿宋" w:hAnsi="仿宋" w:eastAsia="仿宋"/>
          <w:sz w:val="32"/>
          <w:szCs w:val="32"/>
          <w:lang w:val="en-US" w:eastAsia="zh-CN"/>
        </w:rPr>
        <w:t>是教职工减少。</w:t>
      </w:r>
    </w:p>
    <w:p w14:paraId="44CC1E0F">
      <w:pPr>
        <w:pStyle w:val="19"/>
      </w:pPr>
      <w:r>
        <w:rPr>
          <w:rFonts w:hint="eastAsia" w:ascii="仿宋" w:hAnsi="仿宋" w:eastAsia="仿宋"/>
          <w:sz w:val="32"/>
          <w:szCs w:val="32"/>
          <w:lang w:eastAsia="zh-CN"/>
        </w:rPr>
        <w:drawing>
          <wp:inline distT="0" distB="0" distL="114300" distR="114300">
            <wp:extent cx="3875405" cy="1884045"/>
            <wp:effectExtent l="4445" t="4445" r="6350" b="1651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E24569">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2BAE2578">
      <w:pPr>
        <w:spacing w:line="600" w:lineRule="exact"/>
        <w:ind w:firstLine="640"/>
        <w:rPr>
          <w:rFonts w:ascii="仿宋" w:hAnsi="仿宋" w:eastAsia="仿宋"/>
          <w:b w:val="0"/>
          <w:bCs w:val="0"/>
          <w:sz w:val="32"/>
          <w:szCs w:val="32"/>
        </w:rPr>
      </w:pPr>
      <w:r>
        <w:rPr>
          <w:rFonts w:hint="eastAsia" w:ascii="仿宋" w:hAnsi="仿宋" w:eastAsia="仿宋"/>
          <w:b w:val="0"/>
          <w:bCs w:val="0"/>
          <w:sz w:val="32"/>
          <w:szCs w:val="32"/>
        </w:rPr>
        <w:t>2023年度一般公共预算财政拨款支出</w:t>
      </w:r>
      <w:r>
        <w:rPr>
          <w:rFonts w:ascii="仿宋" w:hAnsi="仿宋" w:eastAsia="仿宋"/>
          <w:b w:val="0"/>
          <w:bCs w:val="0"/>
          <w:sz w:val="32"/>
          <w:szCs w:val="32"/>
        </w:rPr>
        <w:t>443.58</w:t>
      </w:r>
      <w:r>
        <w:rPr>
          <w:rFonts w:hint="eastAsia" w:ascii="仿宋" w:hAnsi="仿宋" w:eastAsia="仿宋"/>
          <w:b w:val="0"/>
          <w:bCs w:val="0"/>
          <w:sz w:val="32"/>
          <w:szCs w:val="32"/>
        </w:rPr>
        <w:t>万元，主要用于以下方面</w:t>
      </w:r>
      <w:r>
        <w:rPr>
          <w:rFonts w:hint="eastAsia" w:ascii="仿宋" w:hAnsi="仿宋" w:eastAsia="仿宋"/>
          <w:b w:val="0"/>
          <w:bCs w:val="0"/>
          <w:sz w:val="32"/>
          <w:szCs w:val="32"/>
          <w:lang w:eastAsia="zh-CN"/>
        </w:rPr>
        <w:t>：</w:t>
      </w:r>
      <w:r>
        <w:rPr>
          <w:rFonts w:hint="eastAsia" w:ascii="仿宋" w:hAnsi="仿宋" w:eastAsia="仿宋"/>
          <w:b w:val="0"/>
          <w:bCs w:val="0"/>
          <w:sz w:val="32"/>
          <w:szCs w:val="32"/>
        </w:rPr>
        <w:t>教育支出</w:t>
      </w:r>
      <w:r>
        <w:rPr>
          <w:rFonts w:hint="eastAsia" w:ascii="仿宋" w:hAnsi="仿宋" w:eastAsia="仿宋"/>
          <w:b w:val="0"/>
          <w:bCs w:val="0"/>
          <w:sz w:val="32"/>
          <w:szCs w:val="32"/>
          <w:lang w:val="en-US" w:eastAsia="zh-CN"/>
        </w:rPr>
        <w:t>355.45</w:t>
      </w:r>
      <w:r>
        <w:rPr>
          <w:rFonts w:hint="eastAsia" w:ascii="仿宋" w:hAnsi="仿宋" w:eastAsia="仿宋"/>
          <w:b w:val="0"/>
          <w:bCs w:val="0"/>
          <w:sz w:val="32"/>
          <w:szCs w:val="32"/>
        </w:rPr>
        <w:t>万元，占</w:t>
      </w:r>
      <w:r>
        <w:rPr>
          <w:rFonts w:hint="eastAsia" w:ascii="仿宋" w:hAnsi="仿宋" w:eastAsia="仿宋"/>
          <w:b w:val="0"/>
          <w:bCs w:val="0"/>
          <w:sz w:val="32"/>
          <w:szCs w:val="32"/>
          <w:lang w:val="en-US" w:eastAsia="zh-CN"/>
        </w:rPr>
        <w:t>80.13</w:t>
      </w:r>
      <w:r>
        <w:rPr>
          <w:rFonts w:ascii="仿宋" w:hAnsi="仿宋" w:eastAsia="仿宋"/>
          <w:b w:val="0"/>
          <w:bCs w:val="0"/>
          <w:sz w:val="32"/>
          <w:szCs w:val="32"/>
        </w:rPr>
        <w:t>%</w:t>
      </w:r>
      <w:r>
        <w:rPr>
          <w:rFonts w:hint="eastAsia" w:ascii="仿宋" w:hAnsi="仿宋" w:eastAsia="仿宋"/>
          <w:b w:val="0"/>
          <w:bCs w:val="0"/>
          <w:sz w:val="32"/>
          <w:szCs w:val="32"/>
        </w:rPr>
        <w:t>；社会保障和就业支出</w:t>
      </w:r>
      <w:r>
        <w:rPr>
          <w:rFonts w:hint="eastAsia" w:ascii="仿宋" w:hAnsi="仿宋" w:eastAsia="仿宋"/>
          <w:b w:val="0"/>
          <w:bCs w:val="0"/>
          <w:sz w:val="32"/>
          <w:szCs w:val="32"/>
          <w:lang w:val="en-US" w:eastAsia="zh-CN"/>
        </w:rPr>
        <w:t>39.59</w:t>
      </w:r>
      <w:r>
        <w:rPr>
          <w:rFonts w:hint="eastAsia" w:ascii="仿宋" w:hAnsi="仿宋" w:eastAsia="仿宋"/>
          <w:b w:val="0"/>
          <w:bCs w:val="0"/>
          <w:sz w:val="32"/>
          <w:szCs w:val="32"/>
        </w:rPr>
        <w:t>万元，占</w:t>
      </w:r>
      <w:r>
        <w:rPr>
          <w:rFonts w:hint="eastAsia" w:ascii="仿宋" w:hAnsi="仿宋" w:eastAsia="仿宋"/>
          <w:b w:val="0"/>
          <w:bCs w:val="0"/>
          <w:sz w:val="32"/>
          <w:szCs w:val="32"/>
          <w:lang w:val="en-US" w:eastAsia="zh-CN"/>
        </w:rPr>
        <w:t>8.93</w:t>
      </w:r>
      <w:r>
        <w:rPr>
          <w:rFonts w:ascii="仿宋" w:hAnsi="仿宋" w:eastAsia="仿宋"/>
          <w:b w:val="0"/>
          <w:bCs w:val="0"/>
          <w:sz w:val="32"/>
          <w:szCs w:val="32"/>
        </w:rPr>
        <w:t>%</w:t>
      </w:r>
      <w:r>
        <w:rPr>
          <w:rFonts w:hint="eastAsia" w:ascii="仿宋" w:hAnsi="仿宋" w:eastAsia="仿宋"/>
          <w:b w:val="0"/>
          <w:bCs w:val="0"/>
          <w:sz w:val="32"/>
          <w:szCs w:val="32"/>
        </w:rPr>
        <w:t>；卫生健康支出</w:t>
      </w:r>
      <w:r>
        <w:rPr>
          <w:rFonts w:hint="eastAsia" w:ascii="仿宋" w:hAnsi="仿宋" w:eastAsia="仿宋"/>
          <w:b w:val="0"/>
          <w:bCs w:val="0"/>
          <w:sz w:val="32"/>
          <w:szCs w:val="32"/>
          <w:lang w:val="en-US" w:eastAsia="zh-CN"/>
        </w:rPr>
        <w:t>15.75</w:t>
      </w:r>
      <w:r>
        <w:rPr>
          <w:rFonts w:hint="eastAsia" w:ascii="仿宋" w:hAnsi="仿宋" w:eastAsia="仿宋"/>
          <w:b w:val="0"/>
          <w:bCs w:val="0"/>
          <w:sz w:val="32"/>
          <w:szCs w:val="32"/>
        </w:rPr>
        <w:t>万元，占</w:t>
      </w:r>
      <w:r>
        <w:rPr>
          <w:rFonts w:hint="eastAsia" w:ascii="仿宋" w:hAnsi="仿宋" w:eastAsia="仿宋"/>
          <w:b w:val="0"/>
          <w:bCs w:val="0"/>
          <w:sz w:val="32"/>
          <w:szCs w:val="32"/>
          <w:lang w:val="en-US" w:eastAsia="zh-CN"/>
        </w:rPr>
        <w:t>3.55</w:t>
      </w:r>
      <w:r>
        <w:rPr>
          <w:rFonts w:ascii="仿宋" w:hAnsi="仿宋" w:eastAsia="仿宋"/>
          <w:b w:val="0"/>
          <w:bCs w:val="0"/>
          <w:sz w:val="32"/>
          <w:szCs w:val="32"/>
        </w:rPr>
        <w:t>%</w:t>
      </w:r>
      <w:r>
        <w:rPr>
          <w:rFonts w:hint="eastAsia" w:ascii="仿宋" w:hAnsi="仿宋" w:eastAsia="仿宋"/>
          <w:b w:val="0"/>
          <w:bCs w:val="0"/>
          <w:sz w:val="32"/>
          <w:szCs w:val="32"/>
        </w:rPr>
        <w:t>；住房保障支出</w:t>
      </w:r>
      <w:r>
        <w:rPr>
          <w:rFonts w:hint="eastAsia" w:ascii="仿宋" w:hAnsi="仿宋" w:eastAsia="仿宋"/>
          <w:b w:val="0"/>
          <w:bCs w:val="0"/>
          <w:sz w:val="32"/>
          <w:szCs w:val="32"/>
          <w:lang w:val="en-US" w:eastAsia="zh-CN"/>
        </w:rPr>
        <w:t>32.78</w:t>
      </w:r>
      <w:r>
        <w:rPr>
          <w:rFonts w:hint="eastAsia" w:ascii="仿宋" w:hAnsi="仿宋" w:eastAsia="仿宋"/>
          <w:b w:val="0"/>
          <w:bCs w:val="0"/>
          <w:sz w:val="32"/>
          <w:szCs w:val="32"/>
        </w:rPr>
        <w:t>万元，占</w:t>
      </w:r>
      <w:r>
        <w:rPr>
          <w:rFonts w:hint="eastAsia" w:ascii="仿宋" w:hAnsi="仿宋" w:eastAsia="仿宋"/>
          <w:b w:val="0"/>
          <w:bCs w:val="0"/>
          <w:sz w:val="32"/>
          <w:szCs w:val="32"/>
          <w:lang w:val="en-US" w:eastAsia="zh-CN"/>
        </w:rPr>
        <w:t>7.39</w:t>
      </w:r>
      <w:r>
        <w:rPr>
          <w:rFonts w:ascii="仿宋" w:hAnsi="仿宋" w:eastAsia="仿宋"/>
          <w:b w:val="0"/>
          <w:bCs w:val="0"/>
          <w:sz w:val="32"/>
          <w:szCs w:val="32"/>
        </w:rPr>
        <w:t>%</w:t>
      </w:r>
      <w:r>
        <w:rPr>
          <w:rFonts w:hint="eastAsia" w:ascii="仿宋" w:hAnsi="仿宋" w:eastAsia="仿宋"/>
          <w:b w:val="0"/>
          <w:bCs w:val="0"/>
          <w:sz w:val="32"/>
          <w:szCs w:val="32"/>
        </w:rPr>
        <w:t>。</w:t>
      </w:r>
    </w:p>
    <w:p w14:paraId="73DF3954">
      <w:pPr>
        <w:spacing w:line="240" w:lineRule="auto"/>
        <w:ind w:firstLine="640"/>
        <w:jc w:val="center"/>
        <w:rPr>
          <w:rFonts w:ascii="仿宋" w:hAnsi="仿宋" w:eastAsia="仿宋"/>
          <w:sz w:val="32"/>
          <w:szCs w:val="32"/>
        </w:rPr>
      </w:pPr>
      <w:r>
        <w:rPr>
          <w:rFonts w:hint="eastAsia" w:ascii="仿宋" w:hAnsi="仿宋" w:eastAsia="仿宋"/>
          <w:sz w:val="32"/>
          <w:szCs w:val="32"/>
          <w:lang w:eastAsia="zh-CN"/>
        </w:rPr>
        <w:drawing>
          <wp:inline distT="0" distB="0" distL="114300" distR="114300">
            <wp:extent cx="3923030" cy="2352040"/>
            <wp:effectExtent l="0" t="0" r="1270" b="10160"/>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1"/>
                    <a:stretch>
                      <a:fillRect/>
                    </a:stretch>
                  </pic:blipFill>
                  <pic:spPr>
                    <a:xfrm>
                      <a:off x="0" y="0"/>
                      <a:ext cx="3923030" cy="2352040"/>
                    </a:xfrm>
                    <a:prstGeom prst="rect">
                      <a:avLst/>
                    </a:prstGeom>
                  </pic:spPr>
                </pic:pic>
              </a:graphicData>
            </a:graphic>
          </wp:inline>
        </w:drawing>
      </w:r>
    </w:p>
    <w:p w14:paraId="31E01953">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1EEE6950">
      <w:pPr>
        <w:keepNext w:val="0"/>
        <w:keepLines w:val="0"/>
        <w:pageBreakBefore w:val="0"/>
        <w:widowControl w:val="0"/>
        <w:kinsoku/>
        <w:wordWrap/>
        <w:overflowPunct/>
        <w:topLinePunct w:val="0"/>
        <w:autoSpaceDE/>
        <w:autoSpaceDN/>
        <w:bidi w:val="0"/>
        <w:adjustRightInd/>
        <w:snapToGrid/>
        <w:spacing w:line="600" w:lineRule="exact"/>
        <w:ind w:firstLine="643" w:firstLineChars="200"/>
        <w:outlineLvl w:val="2"/>
        <w:rPr>
          <w:rFonts w:ascii="仿宋" w:hAnsi="仿宋" w:eastAsia="仿宋"/>
          <w:sz w:val="32"/>
          <w:szCs w:val="32"/>
        </w:rPr>
      </w:pPr>
      <w:bookmarkStart w:id="31" w:name="_Toc15377444"/>
      <w:bookmarkStart w:id="32" w:name="_Toc15377213"/>
      <w:bookmarkStart w:id="33" w:name="_Toc15378460"/>
      <w:r>
        <w:rPr>
          <w:rFonts w:hint="eastAsia" w:ascii="仿宋" w:hAnsi="仿宋" w:eastAsia="仿宋"/>
          <w:b/>
          <w:sz w:val="32"/>
          <w:szCs w:val="32"/>
        </w:rPr>
        <w:t>2023年度一般公共预算支出决算数为</w:t>
      </w:r>
      <w:r>
        <w:rPr>
          <w:rFonts w:ascii="仿宋" w:hAnsi="仿宋" w:eastAsia="仿宋"/>
          <w:b/>
          <w:sz w:val="32"/>
          <w:szCs w:val="32"/>
        </w:rPr>
        <w:t>443.58</w:t>
      </w:r>
      <w:r>
        <w:rPr>
          <w:rFonts w:hint="eastAsia" w:ascii="仿宋" w:hAnsi="仿宋" w:eastAsia="仿宋"/>
          <w:sz w:val="32"/>
          <w:szCs w:val="32"/>
        </w:rPr>
        <w:t>，</w:t>
      </w:r>
      <w:r>
        <w:rPr>
          <w:rStyle w:val="17"/>
          <w:rFonts w:hint="eastAsia" w:ascii="仿宋" w:hAnsi="仿宋" w:eastAsia="仿宋"/>
          <w:bCs/>
          <w:sz w:val="32"/>
          <w:szCs w:val="32"/>
        </w:rPr>
        <w:t>完成预算</w:t>
      </w:r>
      <w:r>
        <w:rPr>
          <w:rStyle w:val="17"/>
          <w:rFonts w:hint="eastAsia" w:ascii="仿宋" w:hAnsi="仿宋" w:eastAsia="仿宋"/>
          <w:bCs/>
          <w:sz w:val="32"/>
          <w:szCs w:val="32"/>
          <w:lang w:val="en-US" w:eastAsia="zh-CN"/>
        </w:rPr>
        <w:t>100</w:t>
      </w:r>
      <w:r>
        <w:rPr>
          <w:rStyle w:val="17"/>
          <w:rFonts w:ascii="仿宋" w:hAnsi="仿宋" w:eastAsia="仿宋"/>
          <w:bCs/>
          <w:sz w:val="32"/>
          <w:szCs w:val="32"/>
        </w:rPr>
        <w:t>%</w:t>
      </w:r>
      <w:r>
        <w:rPr>
          <w:rStyle w:val="17"/>
          <w:rFonts w:hint="eastAsia" w:ascii="仿宋" w:hAnsi="仿宋" w:eastAsia="仿宋"/>
          <w:bCs/>
          <w:sz w:val="32"/>
          <w:szCs w:val="32"/>
        </w:rPr>
        <w:t>。其中：</w:t>
      </w:r>
      <w:bookmarkEnd w:id="31"/>
      <w:bookmarkEnd w:id="32"/>
      <w:bookmarkEnd w:id="33"/>
    </w:p>
    <w:p w14:paraId="633D1877">
      <w:pPr>
        <w:keepNext w:val="0"/>
        <w:keepLines w:val="0"/>
        <w:pageBreakBefore w:val="0"/>
        <w:widowControl w:val="0"/>
        <w:kinsoku/>
        <w:wordWrap/>
        <w:overflowPunct/>
        <w:topLinePunct w:val="0"/>
        <w:autoSpaceDE/>
        <w:autoSpaceDN/>
        <w:bidi w:val="0"/>
        <w:adjustRightInd/>
        <w:snapToGrid/>
        <w:spacing w:line="600" w:lineRule="exact"/>
        <w:ind w:firstLine="643" w:firstLineChars="200"/>
        <w:rPr>
          <w:rFonts w:hint="eastAsia" w:ascii="仿宋" w:hAnsi="仿宋" w:eastAsia="仿宋"/>
          <w:b/>
          <w:color w:val="auto"/>
          <w:sz w:val="32"/>
          <w:szCs w:val="32"/>
          <w:highlight w:val="none"/>
          <w:lang w:eastAsia="zh-CN"/>
        </w:rPr>
      </w:pPr>
      <w:r>
        <w:rPr>
          <w:rStyle w:val="17"/>
          <w:rFonts w:ascii="仿宋" w:hAnsi="仿宋" w:eastAsia="仿宋"/>
          <w:bCs/>
          <w:color w:val="auto"/>
          <w:sz w:val="32"/>
          <w:szCs w:val="32"/>
          <w:highlight w:val="none"/>
        </w:rPr>
        <w:t>1.</w:t>
      </w:r>
      <w:r>
        <w:rPr>
          <w:rStyle w:val="17"/>
          <w:rFonts w:hint="eastAsia" w:ascii="仿宋" w:hAnsi="仿宋" w:eastAsia="仿宋"/>
          <w:bCs/>
          <w:color w:val="auto"/>
          <w:sz w:val="32"/>
          <w:szCs w:val="32"/>
          <w:highlight w:val="none"/>
        </w:rPr>
        <w:t>教育（类）</w:t>
      </w:r>
      <w:r>
        <w:rPr>
          <w:rStyle w:val="17"/>
          <w:rFonts w:hint="eastAsia" w:ascii="仿宋" w:hAnsi="仿宋" w:eastAsia="仿宋"/>
          <w:bCs/>
          <w:color w:val="000000"/>
          <w:sz w:val="32"/>
          <w:szCs w:val="32"/>
        </w:rPr>
        <w:t>普通教育</w:t>
      </w:r>
      <w:r>
        <w:rPr>
          <w:rStyle w:val="17"/>
          <w:rFonts w:hint="eastAsia" w:ascii="仿宋" w:hAnsi="仿宋" w:eastAsia="仿宋"/>
          <w:bCs/>
          <w:color w:val="auto"/>
          <w:sz w:val="32"/>
          <w:szCs w:val="32"/>
          <w:highlight w:val="none"/>
        </w:rPr>
        <w:t>（款）</w:t>
      </w:r>
      <w:r>
        <w:rPr>
          <w:rStyle w:val="17"/>
          <w:rFonts w:hint="eastAsia" w:ascii="仿宋" w:hAnsi="仿宋" w:eastAsia="仿宋"/>
          <w:bCs/>
          <w:color w:val="000000"/>
          <w:sz w:val="32"/>
          <w:szCs w:val="32"/>
        </w:rPr>
        <w:t>学前教育</w:t>
      </w:r>
      <w:r>
        <w:rPr>
          <w:rStyle w:val="17"/>
          <w:rFonts w:hint="eastAsia" w:ascii="仿宋" w:hAnsi="仿宋" w:eastAsia="仿宋"/>
          <w:bCs/>
          <w:color w:val="auto"/>
          <w:sz w:val="32"/>
          <w:szCs w:val="32"/>
          <w:highlight w:val="none"/>
        </w:rPr>
        <w:t>（项）</w:t>
      </w:r>
      <w:r>
        <w:rPr>
          <w:rStyle w:val="17"/>
          <w:rFonts w:hint="eastAsia" w:ascii="仿宋" w:hAnsi="仿宋" w:eastAsia="仿宋"/>
          <w:bCs/>
          <w:color w:val="auto"/>
          <w:sz w:val="32"/>
          <w:szCs w:val="32"/>
          <w:highlight w:val="none"/>
          <w:lang w:eastAsia="zh-CN"/>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Fonts w:hint="eastAsia" w:ascii="仿宋" w:hAnsi="仿宋" w:eastAsia="仿宋"/>
          <w:b/>
          <w:sz w:val="32"/>
          <w:szCs w:val="32"/>
          <w:lang w:val="en-US" w:eastAsia="zh-CN"/>
        </w:rPr>
        <w:t>355.45</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lang w:eastAsia="zh-CN"/>
        </w:rPr>
        <w:t>。</w:t>
      </w:r>
    </w:p>
    <w:p w14:paraId="18B7F4EE">
      <w:pPr>
        <w:keepNext w:val="0"/>
        <w:keepLines w:val="0"/>
        <w:pageBreakBefore w:val="0"/>
        <w:widowControl w:val="0"/>
        <w:kinsoku/>
        <w:wordWrap/>
        <w:overflowPunct/>
        <w:topLinePunct w:val="0"/>
        <w:autoSpaceDE/>
        <w:autoSpaceDN/>
        <w:bidi w:val="0"/>
        <w:adjustRightInd/>
        <w:snapToGrid/>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2</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社会保障和就业（类）</w:t>
      </w:r>
      <w:r>
        <w:rPr>
          <w:rStyle w:val="17"/>
          <w:rFonts w:hint="eastAsia" w:ascii="仿宋" w:hAnsi="仿宋" w:eastAsia="仿宋"/>
          <w:bCs/>
          <w:color w:val="000000"/>
          <w:sz w:val="32"/>
          <w:szCs w:val="32"/>
        </w:rPr>
        <w:t>行政事业单位养老支出（款） 机关事业单位基本养老保险缴费支出（项）</w:t>
      </w:r>
      <w:r>
        <w:rPr>
          <w:rStyle w:val="17"/>
          <w:rFonts w:hint="eastAsia" w:ascii="仿宋" w:hAnsi="仿宋" w:eastAsia="仿宋"/>
          <w:bCs/>
          <w:color w:val="000000"/>
          <w:sz w:val="32"/>
          <w:szCs w:val="32"/>
          <w:lang w:eastAsia="zh-CN"/>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3</w:t>
      </w:r>
      <w:r>
        <w:rPr>
          <w:rFonts w:hint="eastAsia" w:ascii="仿宋" w:hAnsi="仿宋" w:eastAsia="仿宋"/>
          <w:b/>
          <w:bCs/>
          <w:sz w:val="32"/>
          <w:szCs w:val="32"/>
          <w:lang w:val="en-US" w:eastAsia="zh-CN"/>
        </w:rPr>
        <w:t>9.59</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r>
        <w:rPr>
          <w:rStyle w:val="17"/>
          <w:rFonts w:hint="eastAsia" w:ascii="仿宋" w:hAnsi="仿宋" w:eastAsia="仿宋"/>
          <w:b w:val="0"/>
          <w:bCs/>
          <w:color w:val="000000"/>
          <w:sz w:val="32"/>
          <w:szCs w:val="32"/>
          <w:lang w:val="en-US" w:eastAsia="zh-CN"/>
        </w:rPr>
        <w:t>与预算数持平。</w:t>
      </w:r>
    </w:p>
    <w:p w14:paraId="5B10ECBF">
      <w:pPr>
        <w:keepNext w:val="0"/>
        <w:keepLines w:val="0"/>
        <w:pageBreakBefore w:val="0"/>
        <w:widowControl w:val="0"/>
        <w:kinsoku/>
        <w:wordWrap/>
        <w:overflowPunct/>
        <w:topLinePunct w:val="0"/>
        <w:autoSpaceDE/>
        <w:autoSpaceDN/>
        <w:bidi w:val="0"/>
        <w:adjustRightInd/>
        <w:snapToGrid/>
        <w:spacing w:line="600" w:lineRule="exact"/>
        <w:ind w:firstLine="643" w:firstLineChars="200"/>
        <w:rPr>
          <w:rStyle w:val="17"/>
          <w:rFonts w:hint="eastAsia" w:ascii="仿宋" w:hAnsi="仿宋" w:eastAsia="仿宋"/>
          <w:bCs/>
          <w:color w:val="auto"/>
          <w:sz w:val="32"/>
          <w:szCs w:val="32"/>
          <w:highlight w:val="none"/>
          <w:lang w:val="en-US" w:eastAsia="zh-CN"/>
        </w:rPr>
      </w:pPr>
      <w:r>
        <w:rPr>
          <w:rStyle w:val="17"/>
          <w:rFonts w:hint="eastAsia" w:ascii="仿宋" w:hAnsi="仿宋" w:eastAsia="仿宋"/>
          <w:bCs/>
          <w:color w:val="auto"/>
          <w:sz w:val="32"/>
          <w:szCs w:val="32"/>
          <w:highlight w:val="none"/>
          <w:lang w:val="en-US" w:eastAsia="zh-CN"/>
        </w:rPr>
        <w:t>3.卫生健康（类）行政事业单位医疗（款）事业单位医疗（项）：</w:t>
      </w:r>
      <w:r>
        <w:rPr>
          <w:rStyle w:val="17"/>
          <w:rFonts w:hint="eastAsia" w:ascii="仿宋" w:hAnsi="仿宋" w:eastAsia="仿宋"/>
          <w:b w:val="0"/>
          <w:bCs w:val="0"/>
          <w:color w:val="auto"/>
          <w:sz w:val="32"/>
          <w:szCs w:val="32"/>
          <w:highlight w:val="none"/>
          <w:lang w:val="en-US" w:eastAsia="zh-CN"/>
        </w:rPr>
        <w:t>支出决算为</w:t>
      </w:r>
      <w:r>
        <w:rPr>
          <w:rStyle w:val="17"/>
          <w:rFonts w:hint="eastAsia" w:ascii="仿宋" w:hAnsi="仿宋" w:eastAsia="仿宋"/>
          <w:b/>
          <w:bCs/>
          <w:color w:val="auto"/>
          <w:sz w:val="32"/>
          <w:szCs w:val="32"/>
          <w:highlight w:val="none"/>
          <w:lang w:val="en-US" w:eastAsia="zh-CN"/>
        </w:rPr>
        <w:t>15.75</w:t>
      </w:r>
      <w:r>
        <w:rPr>
          <w:rStyle w:val="17"/>
          <w:rFonts w:hint="eastAsia" w:ascii="仿宋" w:hAnsi="仿宋" w:eastAsia="仿宋"/>
          <w:b w:val="0"/>
          <w:bCs w:val="0"/>
          <w:color w:val="auto"/>
          <w:sz w:val="32"/>
          <w:szCs w:val="32"/>
          <w:highlight w:val="none"/>
          <w:lang w:val="en-US" w:eastAsia="zh-CN"/>
        </w:rPr>
        <w:t>万元，完成预算100%。</w:t>
      </w:r>
    </w:p>
    <w:p w14:paraId="61EE7B9B">
      <w:pPr>
        <w:keepNext w:val="0"/>
        <w:keepLines w:val="0"/>
        <w:pageBreakBefore w:val="0"/>
        <w:widowControl w:val="0"/>
        <w:kinsoku/>
        <w:wordWrap/>
        <w:overflowPunct/>
        <w:topLinePunct w:val="0"/>
        <w:autoSpaceDE/>
        <w:autoSpaceDN/>
        <w:bidi w:val="0"/>
        <w:adjustRightInd/>
        <w:snapToGrid/>
        <w:spacing w:line="600" w:lineRule="exact"/>
        <w:ind w:firstLine="643" w:firstLineChars="200"/>
        <w:rPr>
          <w:rStyle w:val="17"/>
          <w:rFonts w:hint="eastAsia" w:ascii="仿宋" w:hAnsi="仿宋" w:eastAsia="仿宋"/>
          <w:b w:val="0"/>
          <w:bCs w:val="0"/>
          <w:color w:val="auto"/>
          <w:sz w:val="32"/>
          <w:szCs w:val="32"/>
          <w:highlight w:val="none"/>
          <w:lang w:val="en-US" w:eastAsia="zh-CN"/>
        </w:rPr>
      </w:pPr>
      <w:r>
        <w:rPr>
          <w:rStyle w:val="17"/>
          <w:rFonts w:hint="eastAsia" w:ascii="仿宋" w:hAnsi="仿宋" w:eastAsia="仿宋"/>
          <w:bCs/>
          <w:color w:val="auto"/>
          <w:sz w:val="32"/>
          <w:szCs w:val="32"/>
          <w:highlight w:val="none"/>
          <w:lang w:val="en-US" w:eastAsia="zh-CN"/>
        </w:rPr>
        <w:t>4.</w:t>
      </w:r>
      <w:r>
        <w:rPr>
          <w:rFonts w:hint="eastAsia" w:ascii="仿宋" w:hAnsi="仿宋" w:eastAsia="仿宋"/>
          <w:b/>
          <w:bCs/>
          <w:color w:val="000000"/>
          <w:sz w:val="32"/>
          <w:szCs w:val="32"/>
        </w:rPr>
        <w:t>住房保障支出</w:t>
      </w:r>
      <w:r>
        <w:rPr>
          <w:rStyle w:val="17"/>
          <w:rFonts w:hint="eastAsia" w:ascii="仿宋" w:hAnsi="仿宋" w:eastAsia="仿宋"/>
          <w:bCs/>
          <w:color w:val="000000"/>
          <w:sz w:val="32"/>
          <w:szCs w:val="32"/>
        </w:rPr>
        <w:t>（类）住房改革支出（款）住房公积金（项）</w:t>
      </w:r>
      <w:r>
        <w:rPr>
          <w:rStyle w:val="17"/>
          <w:rFonts w:hint="eastAsia" w:ascii="仿宋" w:hAnsi="仿宋" w:eastAsia="仿宋"/>
          <w:bCs/>
          <w:color w:val="000000"/>
          <w:sz w:val="32"/>
          <w:szCs w:val="32"/>
          <w:lang w:eastAsia="zh-CN"/>
        </w:rPr>
        <w:t>：</w:t>
      </w:r>
      <w:r>
        <w:rPr>
          <w:rStyle w:val="17"/>
          <w:rFonts w:hint="eastAsia" w:ascii="仿宋" w:hAnsi="仿宋" w:eastAsia="仿宋"/>
          <w:b w:val="0"/>
          <w:bCs w:val="0"/>
          <w:color w:val="auto"/>
          <w:sz w:val="32"/>
          <w:szCs w:val="32"/>
          <w:highlight w:val="none"/>
          <w:lang w:val="en-US" w:eastAsia="zh-CN"/>
        </w:rPr>
        <w:t>支出决算为</w:t>
      </w:r>
      <w:r>
        <w:rPr>
          <w:rStyle w:val="17"/>
          <w:rFonts w:hint="eastAsia" w:ascii="仿宋" w:hAnsi="仿宋" w:eastAsia="仿宋"/>
          <w:b/>
          <w:bCs/>
          <w:color w:val="auto"/>
          <w:sz w:val="32"/>
          <w:szCs w:val="32"/>
          <w:highlight w:val="none"/>
          <w:lang w:val="en-US" w:eastAsia="zh-CN"/>
        </w:rPr>
        <w:t>32.7</w:t>
      </w:r>
      <w:r>
        <w:rPr>
          <w:rStyle w:val="17"/>
          <w:rFonts w:hint="eastAsia" w:ascii="仿宋" w:hAnsi="仿宋" w:eastAsia="仿宋"/>
          <w:b w:val="0"/>
          <w:bCs w:val="0"/>
          <w:color w:val="auto"/>
          <w:sz w:val="32"/>
          <w:szCs w:val="32"/>
          <w:highlight w:val="none"/>
          <w:lang w:val="en-US" w:eastAsia="zh-CN"/>
        </w:rPr>
        <w:t>8万元，完成预算100%，与预算数持平，主要用于在职教师住房公积金单位缴费支出。</w:t>
      </w:r>
    </w:p>
    <w:p w14:paraId="64BFA659">
      <w:pPr>
        <w:tabs>
          <w:tab w:val="right" w:pos="8306"/>
        </w:tabs>
        <w:spacing w:line="600" w:lineRule="exact"/>
        <w:ind w:firstLine="640"/>
        <w:outlineLvl w:val="1"/>
        <w:rPr>
          <w:rStyle w:val="30"/>
        </w:rPr>
      </w:pPr>
      <w:bookmarkStart w:id="34" w:name="_Toc15396608"/>
      <w:bookmarkStart w:id="3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0"/>
          <w:rFonts w:hint="eastAsia" w:ascii="黑体" w:hAnsi="黑体" w:eastAsia="黑体"/>
          <w:b w:val="0"/>
        </w:rPr>
        <w:t>般公共预算财政拨款基本支出决算情况说明</w:t>
      </w:r>
      <w:bookmarkEnd w:id="34"/>
      <w:bookmarkEnd w:id="35"/>
      <w:r>
        <w:rPr>
          <w:rStyle w:val="30"/>
          <w:rFonts w:ascii="黑体" w:hAnsi="黑体" w:eastAsia="黑体"/>
          <w:b w:val="0"/>
        </w:rPr>
        <w:tab/>
      </w:r>
    </w:p>
    <w:p w14:paraId="18C7027C">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443.58</w:t>
      </w:r>
      <w:r>
        <w:rPr>
          <w:rFonts w:hint="eastAsia" w:ascii="仿宋" w:hAnsi="仿宋" w:eastAsia="仿宋"/>
          <w:sz w:val="32"/>
          <w:szCs w:val="32"/>
        </w:rPr>
        <w:t>万元，其中：</w:t>
      </w:r>
    </w:p>
    <w:p w14:paraId="06929D14">
      <w:pPr>
        <w:spacing w:line="600" w:lineRule="exact"/>
        <w:ind w:firstLine="645"/>
        <w:rPr>
          <w:rFonts w:hint="eastAsia" w:ascii="仿宋" w:hAnsi="仿宋" w:eastAsia="仿宋"/>
          <w:sz w:val="32"/>
          <w:szCs w:val="32"/>
          <w:lang w:eastAsia="zh-CN"/>
        </w:rPr>
      </w:pPr>
      <w:r>
        <w:rPr>
          <w:rFonts w:hint="eastAsia" w:ascii="仿宋" w:hAnsi="仿宋" w:eastAsia="仿宋"/>
          <w:sz w:val="32"/>
          <w:szCs w:val="32"/>
        </w:rPr>
        <w:t>人员经费</w:t>
      </w:r>
      <w:r>
        <w:rPr>
          <w:rFonts w:ascii="仿宋" w:hAnsi="仿宋" w:eastAsia="仿宋"/>
          <w:b/>
          <w:sz w:val="32"/>
          <w:szCs w:val="32"/>
        </w:rPr>
        <w:t>372.6</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5F993D7E">
      <w:pPr>
        <w:spacing w:line="600" w:lineRule="exact"/>
        <w:ind w:firstLine="645"/>
        <w:rPr>
          <w:rFonts w:ascii="仿宋" w:hAnsi="仿宋" w:eastAsia="仿宋"/>
          <w:b/>
          <w:sz w:val="32"/>
          <w:szCs w:val="32"/>
        </w:rPr>
      </w:pPr>
      <w:r>
        <w:rPr>
          <w:rFonts w:hint="eastAsia" w:ascii="仿宋" w:hAnsi="仿宋" w:eastAsia="仿宋"/>
          <w:sz w:val="32"/>
          <w:szCs w:val="32"/>
        </w:rPr>
        <w:t>公用经费</w:t>
      </w:r>
      <w:r>
        <w:rPr>
          <w:rFonts w:ascii="仿宋" w:hAnsi="仿宋" w:eastAsia="仿宋"/>
          <w:b/>
          <w:sz w:val="32"/>
          <w:szCs w:val="32"/>
        </w:rPr>
        <w:t>70.98</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199BC43C">
      <w:pPr>
        <w:spacing w:line="600" w:lineRule="exact"/>
        <w:ind w:firstLine="640"/>
        <w:outlineLvl w:val="1"/>
        <w:rPr>
          <w:rStyle w:val="30"/>
          <w:rFonts w:ascii="黑体" w:hAnsi="黑体" w:eastAsia="黑体"/>
          <w:b w:val="0"/>
        </w:rPr>
      </w:pPr>
      <w:bookmarkStart w:id="36" w:name="_Toc15377215"/>
      <w:bookmarkStart w:id="37" w:name="_Toc15396609"/>
      <w:r>
        <w:rPr>
          <w:rFonts w:hint="eastAsia" w:ascii="黑体" w:eastAsia="黑体"/>
          <w:sz w:val="32"/>
          <w:szCs w:val="32"/>
        </w:rPr>
        <w:t>七、</w:t>
      </w:r>
      <w:r>
        <w:rPr>
          <w:rStyle w:val="30"/>
          <w:rFonts w:hint="eastAsia" w:ascii="黑体" w:hAnsi="黑体" w:eastAsia="黑体"/>
          <w:b w:val="0"/>
        </w:rPr>
        <w:t>财政拨款</w:t>
      </w:r>
      <w:r>
        <w:rPr>
          <w:rStyle w:val="30"/>
          <w:rFonts w:hint="eastAsia" w:ascii="黑体" w:hAnsi="黑体" w:eastAsia="黑体"/>
        </w:rPr>
        <w:t>“</w:t>
      </w:r>
      <w:r>
        <w:rPr>
          <w:rStyle w:val="30"/>
          <w:rFonts w:hint="eastAsia" w:ascii="黑体" w:hAnsi="黑体" w:eastAsia="黑体"/>
          <w:b w:val="0"/>
        </w:rPr>
        <w:t>三公”经费支出决算情况说明</w:t>
      </w:r>
      <w:bookmarkEnd w:id="36"/>
      <w:bookmarkEnd w:id="37"/>
    </w:p>
    <w:p w14:paraId="6CFA045A">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18643D4B">
      <w:pPr>
        <w:pageBreakBefore w:val="0"/>
        <w:widowControl w:val="0"/>
        <w:kinsoku/>
        <w:wordWrap/>
        <w:overflowPunct/>
        <w:topLinePunct w:val="0"/>
        <w:autoSpaceDE/>
        <w:autoSpaceDN/>
        <w:bidi w:val="0"/>
        <w:adjustRightInd/>
        <w:snapToGrid/>
        <w:spacing w:line="600" w:lineRule="exact"/>
        <w:ind w:firstLine="640"/>
        <w:textAlignment w:val="auto"/>
        <w:rPr>
          <w:rFonts w:hint="eastAsia" w:ascii="仿宋" w:hAnsi="仿宋" w:eastAsia="仿宋" w:cs="仿宋_GB2312"/>
          <w:color w:val="000000"/>
          <w:kern w:val="2"/>
          <w:sz w:val="32"/>
          <w:szCs w:val="32"/>
          <w:lang w:val="zh-CN"/>
        </w:rPr>
      </w:pPr>
      <w:r>
        <w:rPr>
          <w:rFonts w:hint="eastAsia" w:ascii="仿宋" w:hAnsi="仿宋" w:eastAsia="仿宋"/>
          <w:sz w:val="32"/>
          <w:szCs w:val="32"/>
        </w:rPr>
        <w:t>2023年度“三公”经费财政拨款支出决算为</w:t>
      </w:r>
      <w:r>
        <w:rPr>
          <w:rFonts w:ascii="仿宋" w:hAnsi="仿宋" w:eastAsia="仿宋"/>
          <w:b/>
          <w:sz w:val="32"/>
          <w:szCs w:val="32"/>
        </w:rPr>
        <w:t>0.07</w:t>
      </w:r>
      <w:r>
        <w:rPr>
          <w:rFonts w:hint="eastAsia" w:ascii="仿宋" w:hAnsi="仿宋" w:eastAsia="仿宋"/>
          <w:sz w:val="32"/>
          <w:szCs w:val="32"/>
        </w:rPr>
        <w:t>万元，完成预算</w:t>
      </w:r>
      <w:r>
        <w:rPr>
          <w:rFonts w:ascii="仿宋" w:hAnsi="仿宋" w:eastAsia="仿宋"/>
          <w:b/>
          <w:sz w:val="32"/>
          <w:szCs w:val="32"/>
        </w:rPr>
        <w:t>34.85</w:t>
      </w:r>
      <w:r>
        <w:rPr>
          <w:rFonts w:ascii="仿宋" w:hAnsi="仿宋" w:eastAsia="仿宋"/>
          <w:sz w:val="32"/>
          <w:szCs w:val="32"/>
        </w:rPr>
        <w:t>%</w:t>
      </w:r>
      <w:r>
        <w:rPr>
          <w:rFonts w:hint="eastAsia" w:ascii="仿宋" w:hAnsi="仿宋" w:eastAsia="仿宋"/>
          <w:sz w:val="32"/>
          <w:szCs w:val="32"/>
        </w:rPr>
        <w:t>，较上年度减少</w:t>
      </w:r>
      <w:r>
        <w:rPr>
          <w:rFonts w:hint="eastAsia" w:ascii="仿宋" w:hAnsi="仿宋" w:eastAsia="仿宋"/>
          <w:sz w:val="32"/>
          <w:szCs w:val="32"/>
          <w:lang w:val="en-US" w:eastAsia="zh-CN"/>
        </w:rPr>
        <w:t>0.17</w:t>
      </w:r>
      <w:r>
        <w:rPr>
          <w:rFonts w:hint="eastAsia" w:ascii="仿宋" w:hAnsi="仿宋" w:eastAsia="仿宋"/>
          <w:sz w:val="32"/>
          <w:szCs w:val="32"/>
        </w:rPr>
        <w:t>万元，下降</w:t>
      </w:r>
      <w:r>
        <w:rPr>
          <w:rFonts w:hint="eastAsia" w:ascii="仿宋" w:hAnsi="仿宋" w:eastAsia="仿宋"/>
          <w:sz w:val="32"/>
          <w:szCs w:val="32"/>
          <w:lang w:val="en-US" w:eastAsia="zh-CN"/>
        </w:rPr>
        <w:t>70.8</w:t>
      </w:r>
      <w:r>
        <w:rPr>
          <w:rFonts w:hint="eastAsia" w:ascii="仿宋" w:hAnsi="仿宋" w:eastAsia="仿宋"/>
          <w:sz w:val="32"/>
          <w:szCs w:val="32"/>
        </w:rPr>
        <w:t>%。决算数小于预算数的主要原因是</w:t>
      </w:r>
      <w:r>
        <w:rPr>
          <w:rFonts w:hint="eastAsia" w:ascii="仿宋" w:hAnsi="仿宋" w:eastAsia="仿宋"/>
          <w:color w:val="000000"/>
          <w:sz w:val="32"/>
          <w:szCs w:val="32"/>
        </w:rPr>
        <w:t>压减支出规范管理</w:t>
      </w:r>
      <w:r>
        <w:rPr>
          <w:rFonts w:hint="eastAsia" w:ascii="仿宋" w:hAnsi="仿宋" w:eastAsia="仿宋"/>
          <w:color w:val="000000"/>
          <w:sz w:val="32"/>
          <w:szCs w:val="32"/>
          <w:lang w:eastAsia="zh-CN"/>
        </w:rPr>
        <w:t>，</w:t>
      </w:r>
      <w:r>
        <w:rPr>
          <w:rFonts w:hint="eastAsia" w:ascii="仿宋" w:hAnsi="仿宋" w:eastAsia="仿宋" w:cs="仿宋_GB2312"/>
          <w:color w:val="000000"/>
          <w:kern w:val="2"/>
          <w:sz w:val="32"/>
          <w:szCs w:val="32"/>
          <w:lang w:val="zh-CN"/>
        </w:rPr>
        <w:t>公务接待减少。</w:t>
      </w:r>
    </w:p>
    <w:p w14:paraId="3F1397BB">
      <w:pPr>
        <w:pageBreakBefore w:val="0"/>
        <w:widowControl w:val="0"/>
        <w:kinsoku/>
        <w:wordWrap/>
        <w:overflowPunct/>
        <w:topLinePunct w:val="0"/>
        <w:autoSpaceDE/>
        <w:autoSpaceDN/>
        <w:bidi w:val="0"/>
        <w:adjustRightInd/>
        <w:snapToGrid/>
        <w:spacing w:line="600" w:lineRule="exact"/>
        <w:ind w:firstLine="640"/>
        <w:textAlignment w:val="auto"/>
        <w:outlineLvl w:val="2"/>
        <w:rPr>
          <w:rFonts w:ascii="仿宋" w:hAnsi="仿宋" w:eastAsia="仿宋"/>
          <w:b/>
          <w:sz w:val="32"/>
          <w:szCs w:val="32"/>
        </w:rPr>
      </w:pPr>
      <w:r>
        <w:rPr>
          <w:rFonts w:hint="eastAsia" w:ascii="仿宋" w:hAnsi="仿宋" w:eastAsia="仿宋"/>
          <w:b/>
          <w:sz w:val="32"/>
          <w:szCs w:val="32"/>
        </w:rPr>
        <w:t>（二）“三公”经费财政拨款支出决算具体情况说明</w:t>
      </w:r>
    </w:p>
    <w:p w14:paraId="136D39F5">
      <w:pPr>
        <w:ind w:firstLine="640" w:firstLineChars="200"/>
        <w:rPr>
          <w:rFonts w:hint="eastAsia" w:ascii="仿宋" w:hAnsi="仿宋" w:eastAsia="仿宋"/>
          <w:sz w:val="32"/>
          <w:szCs w:val="32"/>
        </w:rPr>
      </w:pPr>
      <w:r>
        <w:rPr>
          <w:rFonts w:hint="eastAsia" w:ascii="仿宋" w:hAnsi="仿宋" w:eastAsia="仿宋"/>
          <w:sz w:val="32"/>
          <w:szCs w:val="32"/>
        </w:rPr>
        <w:t>2023年度“三公”经费财政拨款支出决算中，因公出国（境）费支出决算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；公务接待费支出决算</w:t>
      </w:r>
      <w:r>
        <w:rPr>
          <w:rFonts w:ascii="仿宋" w:hAnsi="仿宋" w:eastAsia="仿宋"/>
          <w:b/>
          <w:sz w:val="32"/>
          <w:szCs w:val="32"/>
        </w:rPr>
        <w:t>0.07</w:t>
      </w:r>
      <w:r>
        <w:rPr>
          <w:rFonts w:hint="eastAsia" w:ascii="仿宋" w:hAnsi="仿宋" w:eastAsia="仿宋"/>
          <w:sz w:val="32"/>
          <w:szCs w:val="32"/>
        </w:rPr>
        <w:t>万元，占</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。具体情况如下：</w:t>
      </w:r>
    </w:p>
    <w:p w14:paraId="5EFF1F90">
      <w:pPr>
        <w:jc w:val="center"/>
        <w:rPr>
          <w:rFonts w:hint="eastAsia"/>
          <w:lang w:eastAsia="zh-CN"/>
        </w:rPr>
      </w:pPr>
      <w:r>
        <w:rPr>
          <w:rFonts w:hint="eastAsia" w:ascii="仿宋" w:hAnsi="仿宋" w:eastAsia="仿宋" w:cs="仿宋_GB2312"/>
          <w:color w:val="000000"/>
          <w:kern w:val="2"/>
          <w:sz w:val="32"/>
          <w:szCs w:val="32"/>
          <w:lang w:val="zh-CN"/>
        </w:rPr>
        <w:drawing>
          <wp:inline distT="0" distB="0" distL="114300" distR="114300">
            <wp:extent cx="3087370" cy="1877060"/>
            <wp:effectExtent l="0" t="0" r="17780" b="8890"/>
            <wp:docPr id="13" name="图片 1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7"/>
                    <pic:cNvPicPr>
                      <a:picLocks noChangeAspect="1"/>
                    </pic:cNvPicPr>
                  </pic:nvPicPr>
                  <pic:blipFill>
                    <a:blip r:embed="rId12"/>
                    <a:stretch>
                      <a:fillRect/>
                    </a:stretch>
                  </pic:blipFill>
                  <pic:spPr>
                    <a:xfrm>
                      <a:off x="0" y="0"/>
                      <a:ext cx="3087370" cy="1877060"/>
                    </a:xfrm>
                    <a:prstGeom prst="rect">
                      <a:avLst/>
                    </a:prstGeom>
                  </pic:spPr>
                </pic:pic>
              </a:graphicData>
            </a:graphic>
          </wp:inline>
        </w:drawing>
      </w:r>
    </w:p>
    <w:p w14:paraId="7D9E53F1">
      <w:pPr>
        <w:spacing w:line="600" w:lineRule="exact"/>
        <w:ind w:firstLine="640"/>
        <w:rPr>
          <w:rFonts w:hint="eastAsia" w:ascii="仿宋" w:hAnsi="仿宋" w:eastAsia="仿宋" w:cs="仿宋"/>
          <w:b/>
          <w:sz w:val="32"/>
          <w:szCs w:val="32"/>
        </w:rPr>
      </w:pPr>
      <w:bookmarkStart w:id="39" w:name="_Toc15396610"/>
      <w:bookmarkStart w:id="40" w:name="_Toc15377218"/>
      <w:r>
        <w:rPr>
          <w:rFonts w:hint="eastAsia" w:ascii="仿宋" w:hAnsi="仿宋" w:eastAsia="仿宋" w:cs="仿宋"/>
          <w:b/>
          <w:sz w:val="32"/>
          <w:szCs w:val="32"/>
        </w:rPr>
        <w:t>1.因公出国（境）经费支出0</w:t>
      </w:r>
      <w:r>
        <w:rPr>
          <w:rFonts w:hint="eastAsia" w:ascii="仿宋" w:hAnsi="仿宋" w:eastAsia="仿宋" w:cs="仿宋"/>
          <w:sz w:val="32"/>
          <w:szCs w:val="32"/>
        </w:rPr>
        <w:t>万元，</w:t>
      </w:r>
      <w:r>
        <w:rPr>
          <w:rStyle w:val="17"/>
          <w:rFonts w:hint="eastAsia" w:ascii="仿宋" w:hAnsi="仿宋" w:eastAsia="仿宋" w:cs="仿宋"/>
          <w:b w:val="0"/>
          <w:bCs/>
          <w:sz w:val="32"/>
          <w:szCs w:val="32"/>
        </w:rPr>
        <w:t>完成预算</w:t>
      </w:r>
      <w:r>
        <w:rPr>
          <w:rStyle w:val="17"/>
          <w:rFonts w:hint="eastAsia" w:ascii="仿宋" w:hAnsi="仿宋" w:eastAsia="仿宋" w:cs="仿宋"/>
          <w:bCs/>
          <w:sz w:val="32"/>
          <w:szCs w:val="32"/>
        </w:rPr>
        <w:t>0</w:t>
      </w:r>
      <w:r>
        <w:rPr>
          <w:rStyle w:val="17"/>
          <w:rFonts w:hint="eastAsia" w:ascii="仿宋" w:hAnsi="仿宋" w:eastAsia="仿宋" w:cs="仿宋"/>
          <w:b w:val="0"/>
          <w:bCs/>
          <w:sz w:val="32"/>
          <w:szCs w:val="32"/>
        </w:rPr>
        <w:t>%。</w:t>
      </w:r>
      <w:r>
        <w:rPr>
          <w:rFonts w:hint="eastAsia" w:ascii="仿宋" w:hAnsi="仿宋" w:eastAsia="仿宋" w:cs="仿宋"/>
          <w:sz w:val="32"/>
          <w:szCs w:val="32"/>
        </w:rPr>
        <w:t>全年安排因公出国（境）团组</w:t>
      </w:r>
      <w:r>
        <w:rPr>
          <w:rFonts w:hint="eastAsia" w:ascii="仿宋" w:hAnsi="仿宋" w:eastAsia="仿宋" w:cs="仿宋"/>
          <w:b/>
          <w:sz w:val="32"/>
          <w:szCs w:val="32"/>
        </w:rPr>
        <w:t>0</w:t>
      </w:r>
      <w:r>
        <w:rPr>
          <w:rFonts w:hint="eastAsia" w:ascii="仿宋" w:hAnsi="仿宋" w:eastAsia="仿宋" w:cs="仿宋"/>
          <w:sz w:val="32"/>
          <w:szCs w:val="32"/>
        </w:rPr>
        <w:t>次，出国（境）</w:t>
      </w:r>
      <w:r>
        <w:rPr>
          <w:rFonts w:hint="eastAsia" w:ascii="仿宋" w:hAnsi="仿宋" w:eastAsia="仿宋" w:cs="仿宋"/>
          <w:b/>
          <w:sz w:val="32"/>
          <w:szCs w:val="32"/>
        </w:rPr>
        <w:t>0</w:t>
      </w:r>
      <w:r>
        <w:rPr>
          <w:rFonts w:hint="eastAsia" w:ascii="仿宋" w:hAnsi="仿宋" w:eastAsia="仿宋" w:cs="仿宋"/>
          <w:sz w:val="32"/>
          <w:szCs w:val="32"/>
        </w:rPr>
        <w:t>人。因公出国（境）支出决算比2022年</w:t>
      </w:r>
      <w:r>
        <w:rPr>
          <w:rFonts w:hint="eastAsia" w:ascii="仿宋" w:hAnsi="仿宋" w:eastAsia="仿宋" w:cs="仿宋"/>
          <w:color w:val="000000"/>
          <w:sz w:val="32"/>
          <w:szCs w:val="32"/>
          <w:lang w:val="en-US" w:eastAsia="zh-CN"/>
        </w:rPr>
        <w:t>持平</w:t>
      </w:r>
      <w:r>
        <w:rPr>
          <w:rFonts w:hint="eastAsia" w:ascii="仿宋" w:hAnsi="仿宋" w:eastAsia="仿宋" w:cs="仿宋"/>
          <w:color w:val="000000"/>
          <w:sz w:val="32"/>
          <w:szCs w:val="32"/>
        </w:rPr>
        <w:t>。</w:t>
      </w:r>
    </w:p>
    <w:p w14:paraId="4652F783">
      <w:pPr>
        <w:spacing w:line="600" w:lineRule="exact"/>
        <w:ind w:firstLine="640"/>
        <w:rPr>
          <w:rFonts w:hint="eastAsia" w:ascii="仿宋" w:hAnsi="仿宋" w:eastAsia="仿宋" w:cs="仿宋"/>
          <w:b/>
          <w:color w:val="auto"/>
          <w:sz w:val="32"/>
          <w:szCs w:val="32"/>
          <w:highlight w:val="none"/>
        </w:rPr>
      </w:pPr>
      <w:r>
        <w:rPr>
          <w:rFonts w:hint="eastAsia" w:ascii="仿宋" w:hAnsi="仿宋" w:eastAsia="仿宋" w:cs="仿宋"/>
          <w:b/>
          <w:sz w:val="32"/>
          <w:szCs w:val="32"/>
        </w:rPr>
        <w:t>2.公务用车购置及运行维护费支出0</w:t>
      </w:r>
      <w:r>
        <w:rPr>
          <w:rFonts w:hint="eastAsia" w:ascii="仿宋" w:hAnsi="仿宋" w:eastAsia="仿宋" w:cs="仿宋"/>
          <w:sz w:val="32"/>
          <w:szCs w:val="32"/>
        </w:rPr>
        <w:t>万元</w:t>
      </w:r>
      <w:r>
        <w:rPr>
          <w:rFonts w:hint="eastAsia" w:ascii="仿宋" w:hAnsi="仿宋" w:eastAsia="仿宋" w:cs="仿宋"/>
          <w:sz w:val="32"/>
          <w:szCs w:val="32"/>
          <w:lang w:eastAsia="zh-CN"/>
        </w:rPr>
        <w:t>，</w:t>
      </w:r>
      <w:r>
        <w:rPr>
          <w:rStyle w:val="17"/>
          <w:rFonts w:hint="eastAsia" w:ascii="仿宋" w:hAnsi="仿宋" w:eastAsia="仿宋" w:cs="仿宋"/>
          <w:b w:val="0"/>
          <w:bCs/>
          <w:sz w:val="32"/>
          <w:szCs w:val="32"/>
        </w:rPr>
        <w:t>完成预算</w:t>
      </w:r>
      <w:r>
        <w:rPr>
          <w:rStyle w:val="17"/>
          <w:rFonts w:hint="eastAsia" w:ascii="仿宋" w:hAnsi="仿宋" w:eastAsia="仿宋" w:cs="仿宋"/>
          <w:bCs/>
          <w:sz w:val="32"/>
          <w:szCs w:val="32"/>
        </w:rPr>
        <w:t>0</w:t>
      </w:r>
      <w:r>
        <w:rPr>
          <w:rStyle w:val="17"/>
          <w:rFonts w:hint="eastAsia" w:ascii="仿宋" w:hAnsi="仿宋" w:eastAsia="仿宋" w:cs="仿宋"/>
          <w:b w:val="0"/>
          <w:bCs/>
          <w:sz w:val="32"/>
          <w:szCs w:val="32"/>
        </w:rPr>
        <w:t>%。</w:t>
      </w:r>
      <w:r>
        <w:rPr>
          <w:rFonts w:hint="eastAsia" w:ascii="仿宋" w:hAnsi="仿宋" w:eastAsia="仿宋" w:cs="仿宋"/>
          <w:color w:val="auto"/>
          <w:sz w:val="32"/>
          <w:szCs w:val="32"/>
          <w:highlight w:val="none"/>
        </w:rPr>
        <w:t>公务用车购置及运行维护费支出决算</w:t>
      </w:r>
      <w:r>
        <w:rPr>
          <w:rFonts w:hint="eastAsia" w:ascii="仿宋" w:hAnsi="仿宋" w:eastAsia="仿宋" w:cs="仿宋"/>
          <w:color w:val="000000"/>
          <w:sz w:val="32"/>
          <w:szCs w:val="32"/>
          <w:lang w:val="en-US" w:eastAsia="zh-CN"/>
        </w:rPr>
        <w:t>与2021年持平</w:t>
      </w:r>
      <w:r>
        <w:rPr>
          <w:rFonts w:hint="eastAsia" w:ascii="仿宋" w:hAnsi="仿宋" w:eastAsia="仿宋" w:cs="仿宋"/>
          <w:color w:val="000000"/>
          <w:sz w:val="32"/>
          <w:szCs w:val="32"/>
        </w:rPr>
        <w:t>。</w:t>
      </w:r>
    </w:p>
    <w:p w14:paraId="4A2A7EB4">
      <w:pPr>
        <w:spacing w:line="600" w:lineRule="exact"/>
        <w:ind w:firstLine="640" w:firstLineChars="200"/>
        <w:rPr>
          <w:rFonts w:hint="eastAsia" w:ascii="仿宋" w:hAnsi="仿宋" w:eastAsia="仿宋" w:cs="仿宋"/>
          <w:b/>
          <w:color w:val="auto"/>
          <w:sz w:val="32"/>
          <w:szCs w:val="32"/>
          <w:highlight w:val="none"/>
        </w:rPr>
      </w:pPr>
      <w:r>
        <w:rPr>
          <w:rFonts w:hint="eastAsia" w:ascii="仿宋" w:hAnsi="仿宋" w:eastAsia="仿宋" w:cs="仿宋"/>
          <w:color w:val="auto"/>
          <w:sz w:val="32"/>
          <w:szCs w:val="32"/>
          <w:highlight w:val="none"/>
        </w:rPr>
        <w:t>其中：</w:t>
      </w:r>
      <w:r>
        <w:rPr>
          <w:rFonts w:hint="eastAsia" w:ascii="仿宋" w:hAnsi="仿宋" w:eastAsia="仿宋" w:cs="仿宋"/>
          <w:b/>
          <w:color w:val="auto"/>
          <w:sz w:val="32"/>
          <w:szCs w:val="32"/>
          <w:highlight w:val="none"/>
        </w:rPr>
        <w:t>公务用车购置支出</w:t>
      </w:r>
      <w:r>
        <w:rPr>
          <w:rFonts w:hint="eastAsia" w:ascii="仿宋" w:hAnsi="仿宋" w:eastAsia="仿宋" w:cs="仿宋"/>
          <w:b/>
          <w:color w:val="auto"/>
          <w:sz w:val="32"/>
          <w:szCs w:val="32"/>
          <w:highlight w:val="none"/>
          <w:lang w:val="en-US" w:eastAsia="zh-CN"/>
        </w:rPr>
        <w:t>0</w:t>
      </w:r>
      <w:r>
        <w:rPr>
          <w:rFonts w:hint="eastAsia" w:ascii="仿宋" w:hAnsi="仿宋" w:eastAsia="仿宋" w:cs="仿宋"/>
          <w:color w:val="auto"/>
          <w:sz w:val="32"/>
          <w:szCs w:val="32"/>
          <w:highlight w:val="none"/>
        </w:rPr>
        <w:t>万元。全年按规定更新购置公务用车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辆，其中：轿车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辆、金额</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万元，越野车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辆、金额</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万元，载客汽车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辆、金额</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万元。截至20</w:t>
      </w:r>
      <w:r>
        <w:rPr>
          <w:rFonts w:hint="eastAsia" w:ascii="仿宋" w:hAnsi="仿宋" w:eastAsia="仿宋" w:cs="仿宋"/>
          <w:color w:val="auto"/>
          <w:sz w:val="32"/>
          <w:szCs w:val="32"/>
          <w:highlight w:val="none"/>
          <w:lang w:val="en-US" w:eastAsia="zh-CN"/>
        </w:rPr>
        <w:t>22</w:t>
      </w:r>
      <w:r>
        <w:rPr>
          <w:rFonts w:hint="eastAsia" w:ascii="仿宋" w:hAnsi="仿宋" w:eastAsia="仿宋" w:cs="仿宋"/>
          <w:color w:val="auto"/>
          <w:sz w:val="32"/>
          <w:szCs w:val="32"/>
          <w:highlight w:val="none"/>
        </w:rPr>
        <w:t>年12月底，单位共有公务用车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辆，其中：轿车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辆、越野车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辆、载客汽车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w:t>
      </w:r>
    </w:p>
    <w:p w14:paraId="1EA6FDB8">
      <w:pPr>
        <w:spacing w:line="600" w:lineRule="exact"/>
        <w:ind w:firstLine="640"/>
        <w:rPr>
          <w:rFonts w:hint="eastAsia" w:ascii="仿宋" w:hAnsi="仿宋" w:eastAsia="仿宋" w:cs="仿宋"/>
          <w:b/>
          <w:sz w:val="32"/>
          <w:szCs w:val="32"/>
        </w:rPr>
      </w:pPr>
      <w:r>
        <w:rPr>
          <w:rFonts w:hint="eastAsia" w:ascii="仿宋" w:hAnsi="仿宋" w:eastAsia="仿宋" w:cs="仿宋"/>
          <w:b/>
          <w:color w:val="auto"/>
          <w:sz w:val="32"/>
          <w:szCs w:val="32"/>
          <w:highlight w:val="none"/>
        </w:rPr>
        <w:t>公务用车运行维护费支出</w:t>
      </w:r>
      <w:r>
        <w:rPr>
          <w:rFonts w:hint="eastAsia" w:ascii="仿宋" w:hAnsi="仿宋" w:eastAsia="仿宋" w:cs="仿宋"/>
          <w:b/>
          <w:color w:val="auto"/>
          <w:sz w:val="32"/>
          <w:szCs w:val="32"/>
          <w:highlight w:val="none"/>
          <w:lang w:val="en-US" w:eastAsia="zh-CN"/>
        </w:rPr>
        <w:t>0</w:t>
      </w:r>
      <w:r>
        <w:rPr>
          <w:rFonts w:hint="eastAsia" w:ascii="仿宋" w:hAnsi="仿宋" w:eastAsia="仿宋" w:cs="仿宋"/>
          <w:color w:val="auto"/>
          <w:sz w:val="32"/>
          <w:szCs w:val="32"/>
          <w:highlight w:val="none"/>
        </w:rPr>
        <w:t>万元。</w:t>
      </w:r>
    </w:p>
    <w:p w14:paraId="0CEBCD43">
      <w:pPr>
        <w:spacing w:line="600" w:lineRule="exact"/>
        <w:ind w:firstLine="640"/>
        <w:rPr>
          <w:rFonts w:hint="eastAsia" w:ascii="仿宋" w:hAnsi="仿宋" w:eastAsia="仿宋" w:cs="仿宋"/>
          <w:sz w:val="32"/>
          <w:szCs w:val="32"/>
        </w:rPr>
      </w:pPr>
      <w:r>
        <w:rPr>
          <w:rFonts w:hint="eastAsia" w:ascii="仿宋" w:hAnsi="仿宋" w:eastAsia="仿宋" w:cs="仿宋"/>
          <w:b/>
          <w:sz w:val="32"/>
          <w:szCs w:val="32"/>
        </w:rPr>
        <w:t>3.公务接待费支出0.07</w:t>
      </w:r>
      <w:r>
        <w:rPr>
          <w:rFonts w:hint="eastAsia" w:ascii="仿宋" w:hAnsi="仿宋" w:eastAsia="仿宋" w:cs="仿宋"/>
          <w:sz w:val="32"/>
          <w:szCs w:val="32"/>
        </w:rPr>
        <w:t>万元，</w:t>
      </w:r>
      <w:r>
        <w:rPr>
          <w:rStyle w:val="17"/>
          <w:rFonts w:hint="eastAsia" w:ascii="仿宋" w:hAnsi="仿宋" w:eastAsia="仿宋" w:cs="仿宋"/>
          <w:b w:val="0"/>
          <w:bCs/>
          <w:sz w:val="32"/>
          <w:szCs w:val="32"/>
        </w:rPr>
        <w:t>完成预算34.85%。</w:t>
      </w:r>
      <w:r>
        <w:rPr>
          <w:rFonts w:hint="eastAsia" w:ascii="仿宋" w:hAnsi="仿宋" w:eastAsia="仿宋" w:cs="仿宋"/>
          <w:sz w:val="32"/>
          <w:szCs w:val="32"/>
        </w:rPr>
        <w:t>公务接待费支出决算比2022年度减少</w:t>
      </w:r>
      <w:r>
        <w:rPr>
          <w:rFonts w:hint="eastAsia" w:ascii="仿宋" w:hAnsi="仿宋" w:eastAsia="仿宋" w:cs="仿宋"/>
          <w:sz w:val="32"/>
          <w:szCs w:val="32"/>
          <w:lang w:val="en-US" w:eastAsia="zh-CN"/>
        </w:rPr>
        <w:t>0.17</w:t>
      </w:r>
      <w:r>
        <w:rPr>
          <w:rFonts w:hint="eastAsia" w:ascii="仿宋" w:hAnsi="仿宋" w:eastAsia="仿宋" w:cs="仿宋"/>
          <w:sz w:val="32"/>
          <w:szCs w:val="32"/>
        </w:rPr>
        <w:t>万元，下降</w:t>
      </w:r>
      <w:r>
        <w:rPr>
          <w:rFonts w:hint="eastAsia" w:ascii="仿宋" w:hAnsi="仿宋" w:eastAsia="仿宋" w:cs="仿宋"/>
          <w:sz w:val="32"/>
          <w:szCs w:val="32"/>
          <w:lang w:val="en-US" w:eastAsia="zh-CN"/>
        </w:rPr>
        <w:t>70.8</w:t>
      </w:r>
      <w:r>
        <w:rPr>
          <w:rFonts w:hint="eastAsia" w:ascii="仿宋" w:hAnsi="仿宋" w:eastAsia="仿宋" w:cs="仿宋"/>
          <w:sz w:val="32"/>
          <w:szCs w:val="32"/>
        </w:rPr>
        <w:t>%。主要原因</w:t>
      </w:r>
      <w:r>
        <w:rPr>
          <w:rFonts w:hint="eastAsia" w:ascii="仿宋" w:hAnsi="仿宋" w:eastAsia="仿宋" w:cs="仿宋"/>
          <w:sz w:val="32"/>
          <w:szCs w:val="32"/>
          <w:lang w:val="en-US" w:eastAsia="zh-CN"/>
        </w:rPr>
        <w:t>是接待减少</w:t>
      </w:r>
      <w:r>
        <w:rPr>
          <w:rFonts w:hint="eastAsia" w:ascii="仿宋" w:hAnsi="仿宋" w:eastAsia="仿宋" w:cs="仿宋"/>
          <w:sz w:val="32"/>
          <w:szCs w:val="32"/>
        </w:rPr>
        <w:t>。</w:t>
      </w:r>
    </w:p>
    <w:p w14:paraId="50259214">
      <w:pPr>
        <w:spacing w:line="600" w:lineRule="exact"/>
        <w:ind w:firstLine="640"/>
        <w:rPr>
          <w:rFonts w:hint="eastAsia" w:ascii="仿宋" w:hAnsi="仿宋" w:eastAsia="仿宋" w:cs="仿宋"/>
          <w:sz w:val="32"/>
          <w:szCs w:val="32"/>
        </w:rPr>
      </w:pPr>
      <w:r>
        <w:rPr>
          <w:rFonts w:hint="eastAsia" w:ascii="仿宋" w:hAnsi="仿宋" w:eastAsia="仿宋" w:cs="仿宋"/>
          <w:b/>
          <w:sz w:val="32"/>
          <w:szCs w:val="32"/>
        </w:rPr>
        <w:t>国内公务接待支出0.07</w:t>
      </w:r>
      <w:r>
        <w:rPr>
          <w:rFonts w:hint="eastAsia" w:ascii="仿宋" w:hAnsi="仿宋" w:eastAsia="仿宋" w:cs="仿宋"/>
          <w:sz w:val="32"/>
          <w:szCs w:val="32"/>
        </w:rPr>
        <w:t>万元，</w:t>
      </w:r>
      <w:r>
        <w:rPr>
          <w:rFonts w:hint="eastAsia" w:ascii="仿宋" w:hAnsi="仿宋" w:eastAsia="仿宋" w:cs="仿宋"/>
          <w:sz w:val="32"/>
          <w:szCs w:val="32"/>
          <w:lang w:eastAsia="zh-CN"/>
        </w:rPr>
        <w:t>主要用于</w:t>
      </w:r>
      <w:r>
        <w:rPr>
          <w:rFonts w:hint="eastAsia" w:ascii="仿宋" w:hAnsi="仿宋" w:eastAsia="仿宋" w:cs="仿宋"/>
          <w:color w:val="000000"/>
          <w:sz w:val="32"/>
          <w:szCs w:val="32"/>
          <w:lang w:val="en-US" w:eastAsia="zh-CN"/>
        </w:rPr>
        <w:t>上级部门来我校检查各项教育教学工作</w:t>
      </w:r>
      <w:r>
        <w:rPr>
          <w:rFonts w:hint="eastAsia" w:ascii="仿宋" w:hAnsi="仿宋" w:eastAsia="仿宋" w:cs="仿宋"/>
          <w:color w:val="000000"/>
          <w:sz w:val="32"/>
          <w:szCs w:val="32"/>
        </w:rPr>
        <w:t>。国内公务接待</w:t>
      </w: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批次，</w:t>
      </w:r>
      <w:r>
        <w:rPr>
          <w:rFonts w:hint="eastAsia" w:ascii="仿宋" w:hAnsi="仿宋" w:eastAsia="仿宋" w:cs="仿宋"/>
          <w:color w:val="000000"/>
          <w:sz w:val="32"/>
          <w:szCs w:val="32"/>
          <w:lang w:val="en-US" w:eastAsia="zh-CN"/>
        </w:rPr>
        <w:t>9</w:t>
      </w:r>
      <w:r>
        <w:rPr>
          <w:rFonts w:hint="eastAsia" w:ascii="仿宋" w:hAnsi="仿宋" w:eastAsia="仿宋" w:cs="仿宋"/>
          <w:color w:val="000000"/>
          <w:sz w:val="32"/>
          <w:szCs w:val="32"/>
        </w:rPr>
        <w:t>人次（不包括陪同人员），共计支出0.</w:t>
      </w:r>
      <w:r>
        <w:rPr>
          <w:rFonts w:hint="eastAsia" w:ascii="仿宋" w:hAnsi="仿宋" w:eastAsia="仿宋" w:cs="仿宋"/>
          <w:color w:val="000000"/>
          <w:sz w:val="32"/>
          <w:szCs w:val="32"/>
          <w:lang w:val="en-US" w:eastAsia="zh-CN"/>
        </w:rPr>
        <w:t>07</w:t>
      </w:r>
      <w:r>
        <w:rPr>
          <w:rFonts w:hint="eastAsia" w:ascii="仿宋" w:hAnsi="仿宋" w:eastAsia="仿宋" w:cs="仿宋"/>
          <w:color w:val="000000"/>
          <w:sz w:val="32"/>
          <w:szCs w:val="32"/>
        </w:rPr>
        <w:t>万元。</w:t>
      </w:r>
    </w:p>
    <w:p w14:paraId="21A03F07">
      <w:pPr>
        <w:spacing w:line="600" w:lineRule="exact"/>
        <w:ind w:firstLine="643" w:firstLineChars="200"/>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外事接待支出</w:t>
      </w:r>
      <w:r>
        <w:rPr>
          <w:rFonts w:hint="eastAsia" w:ascii="仿宋" w:hAnsi="仿宋" w:eastAsia="仿宋" w:cs="仿宋"/>
          <w:b/>
          <w:color w:val="auto"/>
          <w:sz w:val="32"/>
          <w:szCs w:val="32"/>
          <w:highlight w:val="none"/>
          <w:lang w:val="en-US" w:eastAsia="zh-CN"/>
        </w:rPr>
        <w:t>0</w:t>
      </w:r>
      <w:r>
        <w:rPr>
          <w:rFonts w:hint="eastAsia" w:ascii="仿宋" w:hAnsi="仿宋" w:eastAsia="仿宋" w:cs="仿宋"/>
          <w:color w:val="auto"/>
          <w:sz w:val="32"/>
          <w:szCs w:val="32"/>
          <w:highlight w:val="none"/>
        </w:rPr>
        <w:t>万元，外事接待</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批次，</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人</w:t>
      </w:r>
      <w:r>
        <w:rPr>
          <w:rFonts w:hint="eastAsia" w:ascii="仿宋" w:hAnsi="仿宋" w:eastAsia="仿宋" w:cs="仿宋"/>
          <w:color w:val="auto"/>
          <w:sz w:val="32"/>
          <w:szCs w:val="32"/>
          <w:highlight w:val="none"/>
          <w:lang w:eastAsia="zh-CN"/>
        </w:rPr>
        <w:t>次</w:t>
      </w:r>
      <w:r>
        <w:rPr>
          <w:rFonts w:hint="eastAsia" w:ascii="仿宋" w:hAnsi="仿宋" w:eastAsia="仿宋" w:cs="仿宋"/>
          <w:color w:val="auto"/>
          <w:sz w:val="32"/>
          <w:szCs w:val="32"/>
          <w:highlight w:val="none"/>
        </w:rPr>
        <w:t>，共计支出</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w:t>
      </w:r>
    </w:p>
    <w:p w14:paraId="32F62E8D">
      <w:pPr>
        <w:spacing w:line="600" w:lineRule="exact"/>
        <w:ind w:firstLine="640"/>
        <w:outlineLvl w:val="1"/>
        <w:rPr>
          <w:rStyle w:val="30"/>
          <w:rFonts w:hint="eastAsia" w:ascii="仿宋" w:hAnsi="仿宋" w:eastAsia="仿宋" w:cs="仿宋"/>
        </w:rPr>
      </w:pPr>
      <w:r>
        <w:rPr>
          <w:rFonts w:hint="eastAsia" w:ascii="仿宋" w:hAnsi="仿宋" w:eastAsia="仿宋" w:cs="仿宋"/>
          <w:sz w:val="32"/>
          <w:szCs w:val="32"/>
        </w:rPr>
        <w:t>八、</w:t>
      </w:r>
      <w:r>
        <w:rPr>
          <w:rStyle w:val="30"/>
          <w:rFonts w:hint="eastAsia" w:ascii="仿宋" w:hAnsi="仿宋" w:eastAsia="仿宋" w:cs="仿宋"/>
          <w:b w:val="0"/>
        </w:rPr>
        <w:t>政府性基金预算支出决算情况说明</w:t>
      </w:r>
      <w:bookmarkEnd w:id="39"/>
      <w:bookmarkEnd w:id="40"/>
    </w:p>
    <w:p w14:paraId="62CF0F1B">
      <w:pPr>
        <w:spacing w:line="600" w:lineRule="exact"/>
        <w:ind w:firstLine="640"/>
        <w:rPr>
          <w:rFonts w:hint="eastAsia" w:ascii="仿宋" w:hAnsi="仿宋" w:eastAsia="仿宋" w:cs="仿宋"/>
          <w:sz w:val="32"/>
          <w:szCs w:val="32"/>
        </w:rPr>
      </w:pPr>
      <w:r>
        <w:rPr>
          <w:rFonts w:hint="eastAsia" w:ascii="仿宋" w:hAnsi="仿宋" w:eastAsia="仿宋" w:cs="仿宋"/>
          <w:sz w:val="32"/>
          <w:szCs w:val="32"/>
        </w:rPr>
        <w:t>2023年度政府性基金预算财政拨款支出</w:t>
      </w:r>
      <w:r>
        <w:rPr>
          <w:rFonts w:hint="eastAsia" w:ascii="仿宋" w:hAnsi="仿宋" w:eastAsia="仿宋" w:cs="仿宋"/>
          <w:b/>
          <w:sz w:val="32"/>
          <w:szCs w:val="32"/>
        </w:rPr>
        <w:t>0</w:t>
      </w:r>
      <w:r>
        <w:rPr>
          <w:rFonts w:hint="eastAsia" w:ascii="仿宋" w:hAnsi="仿宋" w:eastAsia="仿宋" w:cs="仿宋"/>
          <w:sz w:val="32"/>
          <w:szCs w:val="32"/>
        </w:rPr>
        <w:t>万元。</w:t>
      </w:r>
    </w:p>
    <w:p w14:paraId="438200C3">
      <w:pPr>
        <w:numPr>
          <w:ilvl w:val="0"/>
          <w:numId w:val="3"/>
        </w:numPr>
        <w:spacing w:line="600" w:lineRule="exact"/>
        <w:ind w:firstLine="640"/>
        <w:outlineLvl w:val="1"/>
        <w:rPr>
          <w:rStyle w:val="30"/>
          <w:rFonts w:hint="eastAsia" w:ascii="仿宋" w:hAnsi="仿宋" w:eastAsia="仿宋" w:cs="仿宋"/>
          <w:b w:val="0"/>
        </w:rPr>
      </w:pPr>
      <w:bookmarkStart w:id="41" w:name="_Toc15377219"/>
      <w:bookmarkStart w:id="42" w:name="_Toc15396611"/>
      <w:r>
        <w:rPr>
          <w:rStyle w:val="30"/>
          <w:rFonts w:hint="eastAsia" w:ascii="仿宋" w:hAnsi="仿宋" w:eastAsia="仿宋" w:cs="仿宋"/>
          <w:b w:val="0"/>
        </w:rPr>
        <w:t>国有资本经营预算支出决算情况说明</w:t>
      </w:r>
      <w:bookmarkEnd w:id="41"/>
      <w:bookmarkEnd w:id="42"/>
    </w:p>
    <w:p w14:paraId="5FAD7584">
      <w:pPr>
        <w:spacing w:line="600" w:lineRule="exact"/>
        <w:ind w:firstLine="640"/>
        <w:rPr>
          <w:rFonts w:hint="eastAsia" w:ascii="仿宋" w:hAnsi="仿宋" w:eastAsia="仿宋" w:cs="仿宋"/>
          <w:sz w:val="44"/>
          <w:szCs w:val="44"/>
        </w:rPr>
      </w:pPr>
      <w:r>
        <w:rPr>
          <w:rFonts w:hint="eastAsia" w:ascii="仿宋" w:hAnsi="仿宋" w:eastAsia="仿宋" w:cs="仿宋"/>
          <w:sz w:val="32"/>
          <w:szCs w:val="32"/>
        </w:rPr>
        <w:t>2023年度国有资本经营预算财政拨款支出</w:t>
      </w:r>
      <w:r>
        <w:rPr>
          <w:rFonts w:hint="eastAsia" w:ascii="仿宋" w:hAnsi="仿宋" w:eastAsia="仿宋" w:cs="仿宋"/>
          <w:b/>
          <w:sz w:val="32"/>
          <w:szCs w:val="32"/>
        </w:rPr>
        <w:t>0</w:t>
      </w:r>
      <w:r>
        <w:rPr>
          <w:rFonts w:hint="eastAsia" w:ascii="仿宋" w:hAnsi="仿宋" w:eastAsia="仿宋" w:cs="仿宋"/>
          <w:sz w:val="32"/>
          <w:szCs w:val="32"/>
        </w:rPr>
        <w:t>万元。</w:t>
      </w:r>
    </w:p>
    <w:p w14:paraId="35C05683">
      <w:pPr>
        <w:numPr>
          <w:ilvl w:val="0"/>
          <w:numId w:val="3"/>
        </w:numPr>
        <w:spacing w:line="600" w:lineRule="exact"/>
        <w:ind w:firstLine="640"/>
        <w:outlineLvl w:val="1"/>
        <w:rPr>
          <w:rStyle w:val="30"/>
          <w:rFonts w:hint="eastAsia" w:ascii="仿宋" w:hAnsi="仿宋" w:eastAsia="仿宋" w:cs="仿宋"/>
          <w:b w:val="0"/>
        </w:rPr>
      </w:pPr>
      <w:bookmarkStart w:id="43" w:name="_Toc15377221"/>
      <w:bookmarkStart w:id="44" w:name="_Toc15396612"/>
      <w:r>
        <w:rPr>
          <w:rStyle w:val="30"/>
          <w:rFonts w:hint="eastAsia" w:ascii="仿宋" w:hAnsi="仿宋" w:eastAsia="仿宋" w:cs="仿宋"/>
          <w:b w:val="0"/>
        </w:rPr>
        <w:t>其他重要事项的情况说明</w:t>
      </w:r>
      <w:bookmarkEnd w:id="43"/>
      <w:bookmarkEnd w:id="44"/>
    </w:p>
    <w:p w14:paraId="1DB09E67">
      <w:pPr>
        <w:spacing w:line="600" w:lineRule="exact"/>
        <w:ind w:firstLine="643" w:firstLineChars="200"/>
        <w:outlineLvl w:val="2"/>
        <w:rPr>
          <w:rFonts w:hint="eastAsia" w:ascii="仿宋" w:hAnsi="仿宋" w:eastAsia="仿宋" w:cs="仿宋"/>
          <w:sz w:val="32"/>
          <w:szCs w:val="32"/>
        </w:rPr>
      </w:pPr>
      <w:bookmarkStart w:id="45" w:name="_Toc15377222"/>
      <w:r>
        <w:rPr>
          <w:rFonts w:hint="eastAsia" w:ascii="仿宋" w:hAnsi="仿宋" w:eastAsia="仿宋" w:cs="仿宋"/>
          <w:b/>
          <w:sz w:val="32"/>
          <w:szCs w:val="32"/>
        </w:rPr>
        <w:t>（一）机关运行经费支出情况</w:t>
      </w:r>
      <w:bookmarkEnd w:id="45"/>
    </w:p>
    <w:p w14:paraId="79F4E69B">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2023年度，</w:t>
      </w:r>
      <w:r>
        <w:rPr>
          <w:rFonts w:hint="eastAsia" w:ascii="仿宋" w:hAnsi="仿宋" w:eastAsia="仿宋" w:cs="仿宋"/>
          <w:b/>
          <w:sz w:val="32"/>
          <w:szCs w:val="32"/>
        </w:rPr>
        <w:t>射洪市金华镇第一幼儿园</w:t>
      </w:r>
      <w:r>
        <w:rPr>
          <w:rFonts w:hint="eastAsia" w:ascii="仿宋" w:hAnsi="仿宋" w:eastAsia="仿宋" w:cs="仿宋"/>
          <w:color w:val="000000"/>
          <w:sz w:val="32"/>
          <w:szCs w:val="32"/>
          <w:lang w:val="en-US" w:eastAsia="zh-CN"/>
        </w:rPr>
        <w:t>为全额拨款事业单位，无机关运行经费支出</w:t>
      </w:r>
      <w:r>
        <w:rPr>
          <w:rFonts w:hint="eastAsia" w:ascii="仿宋" w:hAnsi="仿宋" w:eastAsia="仿宋" w:cs="仿宋"/>
          <w:color w:val="000000"/>
          <w:sz w:val="32"/>
          <w:szCs w:val="32"/>
        </w:rPr>
        <w:t>。</w:t>
      </w:r>
    </w:p>
    <w:p w14:paraId="755A7A77">
      <w:pPr>
        <w:autoSpaceDE w:val="0"/>
        <w:autoSpaceDN w:val="0"/>
        <w:adjustRightInd w:val="0"/>
        <w:spacing w:line="600" w:lineRule="exact"/>
        <w:ind w:firstLine="643" w:firstLineChars="200"/>
        <w:jc w:val="left"/>
        <w:outlineLvl w:val="2"/>
        <w:rPr>
          <w:rFonts w:hint="eastAsia" w:ascii="仿宋" w:hAnsi="仿宋" w:eastAsia="仿宋" w:cs="仿宋"/>
          <w:b/>
          <w:sz w:val="32"/>
          <w:szCs w:val="32"/>
        </w:rPr>
      </w:pPr>
      <w:bookmarkStart w:id="46" w:name="_Toc15377223"/>
      <w:r>
        <w:rPr>
          <w:rFonts w:hint="eastAsia" w:ascii="仿宋" w:hAnsi="仿宋" w:eastAsia="仿宋" w:cs="仿宋"/>
          <w:b/>
          <w:sz w:val="32"/>
          <w:szCs w:val="32"/>
        </w:rPr>
        <w:t>（二）政府采购支出情况</w:t>
      </w:r>
      <w:bookmarkEnd w:id="46"/>
    </w:p>
    <w:p w14:paraId="4005ACA5">
      <w:pPr>
        <w:spacing w:line="600" w:lineRule="exact"/>
        <w:ind w:firstLine="640" w:firstLineChars="200"/>
        <w:rPr>
          <w:rFonts w:hint="eastAsia" w:ascii="仿宋" w:hAnsi="仿宋" w:eastAsia="仿宋" w:cs="仿宋"/>
          <w:b/>
          <w:sz w:val="32"/>
          <w:szCs w:val="32"/>
        </w:rPr>
      </w:pPr>
      <w:r>
        <w:rPr>
          <w:rFonts w:hint="eastAsia" w:ascii="仿宋" w:hAnsi="仿宋" w:eastAsia="仿宋" w:cs="仿宋"/>
          <w:sz w:val="32"/>
          <w:szCs w:val="32"/>
        </w:rPr>
        <w:t>2023年度，</w:t>
      </w:r>
      <w:r>
        <w:rPr>
          <w:rFonts w:hint="eastAsia" w:ascii="仿宋" w:hAnsi="仿宋" w:eastAsia="仿宋" w:cs="仿宋"/>
          <w:b/>
          <w:sz w:val="32"/>
          <w:szCs w:val="32"/>
        </w:rPr>
        <w:t>射洪市金华镇第一幼儿园</w:t>
      </w:r>
      <w:r>
        <w:rPr>
          <w:rFonts w:hint="eastAsia" w:ascii="仿宋" w:hAnsi="仿宋" w:eastAsia="仿宋" w:cs="仿宋"/>
          <w:sz w:val="32"/>
          <w:szCs w:val="32"/>
        </w:rPr>
        <w:t>政府采购支出总额</w:t>
      </w:r>
      <w:r>
        <w:rPr>
          <w:rFonts w:hint="eastAsia" w:ascii="仿宋" w:hAnsi="仿宋" w:eastAsia="仿宋" w:cs="仿宋"/>
          <w:b/>
          <w:sz w:val="32"/>
          <w:szCs w:val="32"/>
        </w:rPr>
        <w:t>0</w:t>
      </w:r>
      <w:r>
        <w:rPr>
          <w:rFonts w:hint="eastAsia" w:ascii="仿宋" w:hAnsi="仿宋" w:eastAsia="仿宋" w:cs="仿宋"/>
          <w:sz w:val="32"/>
          <w:szCs w:val="32"/>
        </w:rPr>
        <w:t>万元，其中：政府采购货物支出</w:t>
      </w:r>
      <w:r>
        <w:rPr>
          <w:rFonts w:hint="eastAsia" w:ascii="仿宋" w:hAnsi="仿宋" w:eastAsia="仿宋" w:cs="仿宋"/>
          <w:b/>
          <w:sz w:val="32"/>
          <w:szCs w:val="32"/>
        </w:rPr>
        <w:t>0</w:t>
      </w:r>
      <w:r>
        <w:rPr>
          <w:rFonts w:hint="eastAsia" w:ascii="仿宋" w:hAnsi="仿宋" w:eastAsia="仿宋" w:cs="仿宋"/>
          <w:sz w:val="32"/>
          <w:szCs w:val="32"/>
        </w:rPr>
        <w:t>万元、政府采购工程支出</w:t>
      </w:r>
      <w:r>
        <w:rPr>
          <w:rFonts w:hint="eastAsia" w:ascii="仿宋" w:hAnsi="仿宋" w:eastAsia="仿宋" w:cs="仿宋"/>
          <w:b/>
          <w:sz w:val="32"/>
          <w:szCs w:val="32"/>
        </w:rPr>
        <w:t>0</w:t>
      </w:r>
      <w:r>
        <w:rPr>
          <w:rFonts w:hint="eastAsia" w:ascii="仿宋" w:hAnsi="仿宋" w:eastAsia="仿宋" w:cs="仿宋"/>
          <w:sz w:val="32"/>
          <w:szCs w:val="32"/>
        </w:rPr>
        <w:t>万元、政府采购服务支出</w:t>
      </w:r>
      <w:r>
        <w:rPr>
          <w:rFonts w:hint="eastAsia" w:ascii="仿宋" w:hAnsi="仿宋" w:eastAsia="仿宋" w:cs="仿宋"/>
          <w:b/>
          <w:sz w:val="32"/>
          <w:szCs w:val="32"/>
        </w:rPr>
        <w:t>0</w:t>
      </w:r>
      <w:r>
        <w:rPr>
          <w:rFonts w:hint="eastAsia" w:ascii="仿宋" w:hAnsi="仿宋" w:eastAsia="仿宋" w:cs="仿宋"/>
          <w:sz w:val="32"/>
          <w:szCs w:val="32"/>
        </w:rPr>
        <w:t>万元。授予中小企业合同金额</w:t>
      </w:r>
      <w:r>
        <w:rPr>
          <w:rFonts w:hint="eastAsia" w:ascii="仿宋" w:hAnsi="仿宋" w:eastAsia="仿宋" w:cs="仿宋"/>
          <w:b/>
          <w:sz w:val="32"/>
          <w:szCs w:val="32"/>
        </w:rPr>
        <w:t>0</w:t>
      </w:r>
      <w:r>
        <w:rPr>
          <w:rFonts w:hint="eastAsia" w:ascii="仿宋" w:hAnsi="仿宋" w:eastAsia="仿宋" w:cs="仿宋"/>
          <w:sz w:val="32"/>
          <w:szCs w:val="32"/>
        </w:rPr>
        <w:t>万元，占政府采购支出总额的0%，其中：授予小微企业合同金额</w:t>
      </w:r>
      <w:r>
        <w:rPr>
          <w:rFonts w:hint="eastAsia" w:ascii="仿宋" w:hAnsi="仿宋" w:eastAsia="仿宋" w:cs="仿宋"/>
          <w:b/>
          <w:sz w:val="32"/>
          <w:szCs w:val="32"/>
        </w:rPr>
        <w:t>0</w:t>
      </w:r>
      <w:r>
        <w:rPr>
          <w:rFonts w:hint="eastAsia" w:ascii="仿宋" w:hAnsi="仿宋" w:eastAsia="仿宋" w:cs="仿宋"/>
          <w:sz w:val="32"/>
          <w:szCs w:val="32"/>
        </w:rPr>
        <w:t>万元，占政府采购支出总额的</w:t>
      </w:r>
      <w:r>
        <w:rPr>
          <w:rFonts w:hint="eastAsia" w:ascii="仿宋" w:hAnsi="仿宋" w:eastAsia="仿宋" w:cs="仿宋"/>
          <w:b/>
          <w:sz w:val="32"/>
          <w:szCs w:val="32"/>
        </w:rPr>
        <w:t>0</w:t>
      </w:r>
      <w:r>
        <w:rPr>
          <w:rFonts w:hint="eastAsia" w:ascii="仿宋" w:hAnsi="仿宋" w:eastAsia="仿宋" w:cs="仿宋"/>
          <w:sz w:val="32"/>
          <w:szCs w:val="32"/>
        </w:rPr>
        <w:t>%。</w:t>
      </w:r>
    </w:p>
    <w:p w14:paraId="1325B3F7">
      <w:pPr>
        <w:autoSpaceDE w:val="0"/>
        <w:autoSpaceDN w:val="0"/>
        <w:adjustRightInd w:val="0"/>
        <w:spacing w:line="600" w:lineRule="exact"/>
        <w:ind w:firstLine="643" w:firstLineChars="200"/>
        <w:jc w:val="left"/>
        <w:outlineLvl w:val="2"/>
        <w:rPr>
          <w:rFonts w:hint="eastAsia" w:ascii="仿宋" w:hAnsi="仿宋" w:eastAsia="仿宋" w:cs="仿宋"/>
          <w:b/>
          <w:sz w:val="32"/>
          <w:szCs w:val="32"/>
        </w:rPr>
      </w:pPr>
      <w:bookmarkStart w:id="47" w:name="_Toc15377224"/>
      <w:r>
        <w:rPr>
          <w:rFonts w:hint="eastAsia" w:ascii="仿宋" w:hAnsi="仿宋" w:eastAsia="仿宋" w:cs="仿宋"/>
          <w:b/>
          <w:sz w:val="32"/>
          <w:szCs w:val="32"/>
        </w:rPr>
        <w:t>（三）国有资产占有使用情况</w:t>
      </w:r>
      <w:bookmarkEnd w:id="47"/>
    </w:p>
    <w:p w14:paraId="0C55E00C">
      <w:pPr>
        <w:autoSpaceDE w:val="0"/>
        <w:autoSpaceDN w:val="0"/>
        <w:adjustRightInd w:val="0"/>
        <w:spacing w:line="60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截至2023年12月31日，</w:t>
      </w:r>
      <w:r>
        <w:rPr>
          <w:rFonts w:hint="eastAsia" w:ascii="仿宋" w:hAnsi="仿宋" w:eastAsia="仿宋" w:cs="仿宋"/>
          <w:sz w:val="32"/>
          <w:szCs w:val="32"/>
          <w:lang w:eastAsia="zh-CN"/>
        </w:rPr>
        <w:t>射洪市金华镇第一幼儿园</w:t>
      </w:r>
      <w:bookmarkStart w:id="65" w:name="_GoBack"/>
      <w:bookmarkEnd w:id="65"/>
      <w:r>
        <w:rPr>
          <w:rFonts w:hint="eastAsia" w:ascii="仿宋" w:hAnsi="仿宋" w:eastAsia="仿宋" w:cs="仿宋"/>
          <w:color w:val="auto"/>
          <w:sz w:val="32"/>
          <w:szCs w:val="32"/>
          <w:highlight w:val="none"/>
        </w:rPr>
        <w:t>共有车辆</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辆，其中：主要领导干部用车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辆、机要通信用车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辆、应急保障用车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辆、其他用车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单价100万元以上专用设备</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台（套）。</w:t>
      </w:r>
    </w:p>
    <w:p w14:paraId="2F04DA24">
      <w:pPr>
        <w:autoSpaceDE w:val="0"/>
        <w:autoSpaceDN w:val="0"/>
        <w:adjustRightInd w:val="0"/>
        <w:spacing w:line="600" w:lineRule="exact"/>
        <w:jc w:val="left"/>
        <w:outlineLvl w:val="2"/>
        <w:rPr>
          <w:rFonts w:hint="eastAsia" w:ascii="仿宋" w:hAnsi="仿宋" w:eastAsia="仿宋" w:cs="仿宋"/>
          <w:b/>
          <w:sz w:val="32"/>
          <w:szCs w:val="32"/>
        </w:rPr>
      </w:pPr>
      <w:r>
        <w:rPr>
          <w:rFonts w:hint="eastAsia" w:ascii="仿宋" w:hAnsi="仿宋" w:eastAsia="仿宋" w:cs="仿宋"/>
          <w:b/>
          <w:sz w:val="32"/>
          <w:szCs w:val="32"/>
        </w:rPr>
        <w:t>（四）预算绩效管理情况</w:t>
      </w:r>
    </w:p>
    <w:p w14:paraId="27ACFC19">
      <w:pPr>
        <w:tabs>
          <w:tab w:val="right" w:pos="8306"/>
        </w:tabs>
        <w:autoSpaceDE/>
        <w:autoSpaceDN/>
        <w:adjustRightInd/>
        <w:spacing w:beforeLines="0" w:afterLines="0" w:line="600" w:lineRule="exact"/>
        <w:ind w:firstLine="640"/>
        <w:jc w:val="both"/>
        <w:outlineLvl w:val="1"/>
        <w:rPr>
          <w:rFonts w:hint="eastAsia" w:ascii="仿宋" w:hAnsi="仿宋" w:eastAsia="仿宋" w:cs="仿宋_GB2312"/>
          <w:kern w:val="2"/>
          <w:sz w:val="32"/>
          <w:szCs w:val="32"/>
          <w:lang w:val="zh-CN"/>
        </w:rPr>
      </w:pPr>
      <w:r>
        <w:rPr>
          <w:rFonts w:hint="eastAsia" w:ascii="仿宋" w:hAnsi="仿宋" w:eastAsia="仿宋" w:cs="仿宋_GB2312"/>
          <w:color w:val="auto"/>
          <w:kern w:val="2"/>
          <w:sz w:val="32"/>
          <w:szCs w:val="32"/>
        </w:rPr>
        <w:t>根据预算绩效管理要求，本</w:t>
      </w:r>
      <w:r>
        <w:rPr>
          <w:rFonts w:hint="eastAsia" w:ascii="仿宋" w:hAnsi="仿宋" w:eastAsia="仿宋" w:cs="仿宋_GB2312"/>
          <w:kern w:val="2"/>
          <w:sz w:val="32"/>
          <w:szCs w:val="32"/>
        </w:rPr>
        <w:t>单位在</w:t>
      </w:r>
      <w:r>
        <w:rPr>
          <w:rFonts w:hint="eastAsia" w:ascii="仿宋" w:hAnsi="仿宋" w:eastAsia="仿宋" w:cs="仿宋_GB2312"/>
          <w:kern w:val="2"/>
          <w:sz w:val="32"/>
          <w:szCs w:val="32"/>
          <w:lang w:eastAsia="zh-CN"/>
        </w:rPr>
        <w:t>2023年</w:t>
      </w:r>
      <w:r>
        <w:rPr>
          <w:rFonts w:hint="eastAsia" w:ascii="仿宋" w:hAnsi="仿宋" w:eastAsia="仿宋" w:cs="仿宋_GB2312"/>
          <w:kern w:val="2"/>
          <w:sz w:val="32"/>
          <w:szCs w:val="32"/>
        </w:rPr>
        <w:t>度预算编制阶段，组织对教育支出等</w:t>
      </w:r>
      <w:r>
        <w:rPr>
          <w:rFonts w:hint="eastAsia" w:ascii="仿宋" w:hAnsi="仿宋" w:eastAsia="仿宋" w:cs="仿宋_GB2312"/>
          <w:kern w:val="2"/>
          <w:sz w:val="32"/>
          <w:szCs w:val="32"/>
          <w:lang w:val="en-US" w:eastAsia="zh-CN"/>
        </w:rPr>
        <w:t>1</w:t>
      </w:r>
      <w:r>
        <w:rPr>
          <w:rFonts w:hint="eastAsia" w:ascii="仿宋" w:hAnsi="仿宋" w:eastAsia="仿宋" w:cs="仿宋_GB2312"/>
          <w:kern w:val="2"/>
          <w:sz w:val="32"/>
          <w:szCs w:val="32"/>
        </w:rPr>
        <w:t>个项目开展了预算事前绩效评估，对</w:t>
      </w:r>
      <w:r>
        <w:rPr>
          <w:rFonts w:hint="eastAsia" w:ascii="仿宋" w:hAnsi="仿宋" w:eastAsia="仿宋" w:cs="仿宋_GB2312"/>
          <w:kern w:val="2"/>
          <w:sz w:val="32"/>
          <w:szCs w:val="32"/>
          <w:lang w:val="en-US" w:eastAsia="zh-CN"/>
        </w:rPr>
        <w:t>1</w:t>
      </w:r>
      <w:r>
        <w:rPr>
          <w:rFonts w:hint="eastAsia" w:ascii="仿宋" w:hAnsi="仿宋" w:eastAsia="仿宋" w:cs="仿宋_GB2312"/>
          <w:kern w:val="2"/>
          <w:sz w:val="32"/>
          <w:szCs w:val="32"/>
        </w:rPr>
        <w:t>个项目编制了绩效目标，预算执行过程中，选取</w:t>
      </w:r>
      <w:r>
        <w:rPr>
          <w:rFonts w:hint="eastAsia" w:ascii="仿宋" w:hAnsi="仿宋" w:eastAsia="仿宋" w:cs="仿宋_GB2312"/>
          <w:kern w:val="2"/>
          <w:sz w:val="32"/>
          <w:szCs w:val="32"/>
          <w:lang w:val="en-US" w:eastAsia="zh-CN"/>
        </w:rPr>
        <w:t>1</w:t>
      </w:r>
      <w:r>
        <w:rPr>
          <w:rFonts w:hint="eastAsia" w:ascii="仿宋" w:hAnsi="仿宋" w:eastAsia="仿宋" w:cs="仿宋_GB2312"/>
          <w:kern w:val="2"/>
          <w:sz w:val="32"/>
          <w:szCs w:val="32"/>
        </w:rPr>
        <w:t>个项目开展绩效监控，组织对</w:t>
      </w:r>
      <w:r>
        <w:rPr>
          <w:rFonts w:hint="eastAsia" w:ascii="仿宋" w:hAnsi="仿宋" w:eastAsia="仿宋" w:cs="仿宋_GB2312"/>
          <w:kern w:val="2"/>
          <w:sz w:val="32"/>
          <w:szCs w:val="32"/>
          <w:lang w:val="en-US" w:eastAsia="zh-CN"/>
        </w:rPr>
        <w:t>12</w:t>
      </w:r>
      <w:r>
        <w:rPr>
          <w:rFonts w:hint="eastAsia" w:ascii="仿宋" w:hAnsi="仿宋" w:eastAsia="仿宋" w:cs="仿宋_GB2312"/>
          <w:kern w:val="2"/>
          <w:sz w:val="32"/>
          <w:szCs w:val="32"/>
        </w:rPr>
        <w:t>个项目开展绩效自评，绩效自评表详见第四部分附件。</w:t>
      </w:r>
    </w:p>
    <w:p w14:paraId="3BEFC488">
      <w:pPr>
        <w:pStyle w:val="2"/>
        <w:rPr>
          <w:rFonts w:hint="eastAsia" w:ascii="仿宋_GB2312" w:eastAsia="仿宋_GB2312"/>
          <w:sz w:val="32"/>
          <w:szCs w:val="32"/>
        </w:rPr>
      </w:pPr>
    </w:p>
    <w:p w14:paraId="3A9E6FE9">
      <w:pPr>
        <w:rPr>
          <w:rFonts w:hint="eastAsia"/>
        </w:rPr>
      </w:pPr>
    </w:p>
    <w:p w14:paraId="744891AF">
      <w:pPr>
        <w:numPr>
          <w:ilvl w:val="0"/>
          <w:numId w:val="4"/>
        </w:numPr>
        <w:spacing w:line="600" w:lineRule="exact"/>
        <w:ind w:firstLine="660" w:firstLineChars="150"/>
        <w:jc w:val="center"/>
        <w:outlineLvl w:val="0"/>
        <w:rPr>
          <w:rFonts w:ascii="宋体"/>
          <w:b/>
          <w:sz w:val="44"/>
          <w:szCs w:val="44"/>
        </w:rPr>
      </w:pPr>
      <w:bookmarkStart w:id="48" w:name="_Toc15377225"/>
      <w:bookmarkStart w:id="49" w:name="_Toc15396613"/>
      <w:r>
        <w:rPr>
          <w:rFonts w:hint="eastAsia" w:ascii="黑体" w:hAnsi="黑体" w:eastAsia="黑体"/>
          <w:sz w:val="44"/>
          <w:szCs w:val="44"/>
        </w:rPr>
        <w:t>名</w:t>
      </w:r>
      <w:r>
        <w:rPr>
          <w:rStyle w:val="29"/>
          <w:rFonts w:hint="eastAsia" w:ascii="黑体" w:hAnsi="黑体" w:eastAsia="黑体"/>
          <w:b w:val="0"/>
        </w:rPr>
        <w:t>词解释</w:t>
      </w:r>
      <w:bookmarkEnd w:id="48"/>
      <w:bookmarkEnd w:id="49"/>
    </w:p>
    <w:p w14:paraId="18E150EE">
      <w:pPr>
        <w:pStyle w:val="2"/>
      </w:pPr>
    </w:p>
    <w:p w14:paraId="3F07DB0B">
      <w:pPr>
        <w:pStyle w:val="27"/>
        <w:numPr>
          <w:ilvl w:val="0"/>
          <w:numId w:val="5"/>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财政拨款收入：指单位从同级财政部门取得的财政预算资金。</w:t>
      </w:r>
    </w:p>
    <w:p w14:paraId="663208A9">
      <w:pPr>
        <w:spacing w:line="460" w:lineRule="exact"/>
        <w:ind w:firstLine="640" w:firstLineChars="200"/>
        <w:rPr>
          <w:rFonts w:hint="eastAsia" w:ascii="仿宋" w:hAnsi="仿宋" w:eastAsia="仿宋" w:cs="仿宋"/>
          <w:sz w:val="32"/>
          <w:szCs w:val="32"/>
        </w:rPr>
      </w:pPr>
      <w:r>
        <w:rPr>
          <w:rFonts w:hint="eastAsia" w:ascii="仿宋" w:hAnsi="仿宋" w:eastAsia="仿宋" w:cs="仿宋"/>
          <w:color w:val="auto"/>
          <w:kern w:val="0"/>
          <w:sz w:val="32"/>
          <w:szCs w:val="32"/>
          <w:lang w:val="en-US" w:eastAsia="zh-CN"/>
        </w:rPr>
        <w:t>2</w:t>
      </w:r>
      <w:r>
        <w:rPr>
          <w:rFonts w:hint="eastAsia" w:ascii="仿宋" w:hAnsi="仿宋" w:eastAsia="仿宋" w:cs="仿宋"/>
          <w:color w:val="auto"/>
          <w:kern w:val="0"/>
          <w:sz w:val="32"/>
          <w:szCs w:val="32"/>
        </w:rPr>
        <w:t>.一般公共预算拨款（补助）收入：指</w:t>
      </w:r>
      <w:r>
        <w:rPr>
          <w:rFonts w:hint="eastAsia" w:ascii="仿宋" w:hAnsi="仿宋" w:eastAsia="仿宋" w:cs="仿宋"/>
          <w:color w:val="auto"/>
          <w:kern w:val="0"/>
          <w:sz w:val="32"/>
          <w:szCs w:val="32"/>
          <w:lang w:eastAsia="zh-CN"/>
        </w:rPr>
        <w:t>市</w:t>
      </w:r>
      <w:r>
        <w:rPr>
          <w:rFonts w:hint="eastAsia" w:ascii="仿宋" w:hAnsi="仿宋" w:eastAsia="仿宋" w:cs="仿宋"/>
          <w:color w:val="auto"/>
          <w:kern w:val="0"/>
          <w:sz w:val="32"/>
          <w:szCs w:val="32"/>
        </w:rPr>
        <w:t>本级财政拨入的各类经费。</w:t>
      </w:r>
    </w:p>
    <w:p w14:paraId="5F34A1FA">
      <w:pPr>
        <w:pStyle w:val="27"/>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.年初结转和结余：指以前年度尚未完成、结转到本年按有关规定继续使用的资金。 </w:t>
      </w:r>
    </w:p>
    <w:p w14:paraId="1305F25C">
      <w:pPr>
        <w:pStyle w:val="27"/>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年末结转和结余：指单位按有关规定结转到下年或以后年度继续使用的资金。</w:t>
      </w:r>
    </w:p>
    <w:p w14:paraId="2583D939">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rPr>
        <w:t>.基本支出：指为保障机构正常运转、完成日常工作任务而发生的人员支出和公用支出。</w:t>
      </w:r>
    </w:p>
    <w:p w14:paraId="3F5C3E66">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6</w:t>
      </w:r>
      <w:r>
        <w:rPr>
          <w:rFonts w:hint="eastAsia" w:ascii="仿宋" w:hAnsi="仿宋" w:eastAsia="仿宋" w:cs="仿宋"/>
          <w:color w:val="000000"/>
          <w:sz w:val="32"/>
          <w:szCs w:val="32"/>
        </w:rPr>
        <w:t xml:space="preserve">.项目支出：指在基本支出之外为完成特定行政任务和事业发展目标所发生的支出。 </w:t>
      </w:r>
    </w:p>
    <w:p w14:paraId="46AE7D48">
      <w:pPr>
        <w:pStyle w:val="27"/>
        <w:spacing w:line="560" w:lineRule="exact"/>
        <w:ind w:firstLine="640" w:firstLineChars="200"/>
        <w:rPr>
          <w:rFonts w:hint="eastAsia" w:ascii="仿宋" w:hAnsi="仿宋" w:eastAsia="仿宋" w:cs="仿宋"/>
          <w:sz w:val="32"/>
          <w:szCs w:val="32"/>
          <w:shd w:val="clear" w:color="auto" w:fill="FFFFFF"/>
          <w:lang w:val="zh-CN"/>
        </w:rPr>
      </w:pPr>
      <w:r>
        <w:rPr>
          <w:rFonts w:hint="eastAsia" w:ascii="仿宋" w:hAnsi="仿宋" w:eastAsia="仿宋" w:cs="仿宋"/>
          <w:sz w:val="32"/>
          <w:szCs w:val="32"/>
          <w:lang w:val="en-US" w:eastAsia="zh-CN"/>
        </w:rPr>
        <w:t>7</w:t>
      </w:r>
      <w:r>
        <w:rPr>
          <w:rFonts w:hint="eastAsia" w:ascii="仿宋" w:hAnsi="仿宋" w:eastAsia="仿宋" w:cs="仿宋"/>
          <w:sz w:val="32"/>
          <w:szCs w:val="32"/>
        </w:rPr>
        <w:t>.“三公”经费：指部门用财政拨款安排的因公出国（境）</w:t>
      </w:r>
      <w:r>
        <w:rPr>
          <w:rFonts w:hint="eastAsia" w:ascii="仿宋" w:hAnsi="仿宋" w:eastAsia="仿宋" w:cs="仿宋"/>
          <w:sz w:val="32"/>
          <w:szCs w:val="32"/>
          <w:shd w:val="clear" w:color="auto" w:fill="FFFFFF"/>
          <w:lang w:val="zh-CN"/>
        </w:rPr>
        <w:t>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D3D77D2">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8</w:t>
      </w:r>
      <w:r>
        <w:rPr>
          <w:rFonts w:hint="eastAsia" w:ascii="仿宋" w:hAnsi="仿宋" w:eastAsia="仿宋" w:cs="仿宋"/>
          <w:color w:val="000000"/>
          <w:sz w:val="32"/>
          <w:szCs w:val="32"/>
        </w:rPr>
        <w:t>.教育（类）普通教育（款）小学教育（项）：指学校的人员工资、日常运转以及教育等方面的支出。</w:t>
      </w:r>
    </w:p>
    <w:p w14:paraId="7FDBDA4B">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9</w:t>
      </w:r>
      <w:r>
        <w:rPr>
          <w:rFonts w:hint="eastAsia" w:ascii="仿宋" w:hAnsi="仿宋" w:eastAsia="仿宋" w:cs="仿宋"/>
          <w:color w:val="000000"/>
          <w:sz w:val="32"/>
          <w:szCs w:val="32"/>
        </w:rPr>
        <w:t>.社会保障和就业（类）行政事业单位养老支出（款） 机关事业单位基本养老保险缴费支出（项）：指单位实施养老保险制度由单位缴纳的基本养老保险费支出。</w:t>
      </w:r>
    </w:p>
    <w:p w14:paraId="598B687D">
      <w:pPr>
        <w:keepNext w:val="0"/>
        <w:keepLines w:val="0"/>
        <w:pageBreakBefore w:val="0"/>
        <w:widowControl w:val="0"/>
        <w:kinsoku/>
        <w:wordWrap/>
        <w:overflowPunct w:val="0"/>
        <w:topLinePunct w:val="0"/>
        <w:autoSpaceDE/>
        <w:autoSpaceDN/>
        <w:bidi w:val="0"/>
        <w:adjustRightInd w:val="0"/>
        <w:snapToGrid w:val="0"/>
        <w:spacing w:line="324"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卫生健康支出（类）行政事业单位医疗（款）行政单位医疗（项），主要用于：行政单位按照规定标准为职工缴纳的基本医疗保险等支出。</w:t>
      </w:r>
    </w:p>
    <w:p w14:paraId="3901512D">
      <w:pPr>
        <w:keepNext w:val="0"/>
        <w:keepLines w:val="0"/>
        <w:pageBreakBefore w:val="0"/>
        <w:widowControl w:val="0"/>
        <w:kinsoku/>
        <w:wordWrap/>
        <w:overflowPunct w:val="0"/>
        <w:topLinePunct w:val="0"/>
        <w:autoSpaceDE/>
        <w:autoSpaceDN/>
        <w:bidi w:val="0"/>
        <w:adjustRightInd w:val="0"/>
        <w:snapToGrid w:val="0"/>
        <w:spacing w:line="324"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卫生健康支出（类）行政事业单位医疗（款）事业单位医疗（项），主要用于：事业单位按照规定标准为职工缴纳的基本医疗保险及失业保险等支出。</w:t>
      </w:r>
    </w:p>
    <w:p w14:paraId="43FB218F">
      <w:pPr>
        <w:keepNext w:val="0"/>
        <w:keepLines w:val="0"/>
        <w:pageBreakBefore w:val="0"/>
        <w:widowControl w:val="0"/>
        <w:kinsoku/>
        <w:wordWrap/>
        <w:overflowPunct w:val="0"/>
        <w:topLinePunct w:val="0"/>
        <w:autoSpaceDE/>
        <w:autoSpaceDN/>
        <w:bidi w:val="0"/>
        <w:adjustRightInd w:val="0"/>
        <w:snapToGrid w:val="0"/>
        <w:spacing w:line="324"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住房保障支出（类）住房改革支出（款）住房公积金（项），主要用于：</w:t>
      </w:r>
      <w:r>
        <w:rPr>
          <w:rFonts w:hint="eastAsia" w:ascii="仿宋" w:hAnsi="仿宋" w:eastAsia="仿宋" w:cs="仿宋"/>
          <w:color w:val="auto"/>
          <w:sz w:val="32"/>
          <w:szCs w:val="32"/>
          <w:highlight w:val="none"/>
          <w:lang w:eastAsia="zh-CN"/>
        </w:rPr>
        <w:t>射洪</w:t>
      </w:r>
      <w:r>
        <w:rPr>
          <w:rFonts w:hint="eastAsia" w:ascii="仿宋" w:hAnsi="仿宋" w:eastAsia="仿宋" w:cs="仿宋"/>
          <w:color w:val="auto"/>
          <w:sz w:val="32"/>
          <w:szCs w:val="32"/>
          <w:highlight w:val="none"/>
          <w:lang w:val="en-US" w:eastAsia="zh-CN"/>
        </w:rPr>
        <w:t>市金华镇第一幼儿园</w:t>
      </w:r>
      <w:r>
        <w:rPr>
          <w:rFonts w:hint="eastAsia" w:ascii="仿宋" w:hAnsi="仿宋" w:eastAsia="仿宋" w:cs="仿宋"/>
          <w:color w:val="auto"/>
          <w:sz w:val="32"/>
          <w:szCs w:val="32"/>
          <w:highlight w:val="none"/>
        </w:rPr>
        <w:t>按照规定标准为职工缴纳的职工住房公积金支出。</w:t>
      </w:r>
    </w:p>
    <w:p w14:paraId="7C858F40">
      <w:pPr>
        <w:rPr>
          <w:rFonts w:ascii="仿宋" w:hAnsi="仿宋" w:eastAsia="仿宋"/>
          <w:b/>
          <w:sz w:val="32"/>
          <w:szCs w:val="32"/>
        </w:rPr>
      </w:pPr>
    </w:p>
    <w:p w14:paraId="49A75A8A">
      <w:pPr>
        <w:pStyle w:val="6"/>
        <w:rPr>
          <w:rFonts w:ascii="宋体"/>
          <w:b/>
          <w:sz w:val="44"/>
          <w:szCs w:val="44"/>
        </w:rPr>
      </w:pPr>
      <w:bookmarkStart w:id="50" w:name="_Toc15377226"/>
      <w:r>
        <w:rPr>
          <w:rFonts w:ascii="宋体"/>
          <w:b/>
          <w:sz w:val="44"/>
          <w:szCs w:val="44"/>
        </w:rPr>
        <w:br w:type="page"/>
      </w:r>
      <w:bookmarkStart w:id="51" w:name="_Toc15396618"/>
    </w:p>
    <w:p w14:paraId="067FD794">
      <w:pPr>
        <w:spacing w:beforeLines="0" w:afterLines="0" w:line="600" w:lineRule="exact"/>
        <w:jc w:val="center"/>
        <w:rPr>
          <w:rFonts w:hint="default" w:ascii="黑体" w:hAnsi="Cambria" w:eastAsia="黑体" w:cs="黑体"/>
          <w:kern w:val="44"/>
          <w:sz w:val="44"/>
          <w:szCs w:val="44"/>
        </w:rPr>
      </w:pPr>
      <w:r>
        <w:rPr>
          <w:rFonts w:hint="eastAsia" w:ascii="黑体" w:hAnsi="Cambria" w:eastAsia="黑体" w:cs="黑体"/>
          <w:kern w:val="2"/>
          <w:sz w:val="44"/>
          <w:szCs w:val="44"/>
        </w:rPr>
        <w:t>第</w:t>
      </w:r>
      <w:r>
        <w:rPr>
          <w:rFonts w:hint="eastAsia" w:ascii="黑体" w:hAnsi="Cambria" w:eastAsia="黑体" w:cs="黑体"/>
          <w:kern w:val="44"/>
          <w:sz w:val="44"/>
          <w:szCs w:val="44"/>
        </w:rPr>
        <w:t>四部分 附件</w:t>
      </w:r>
    </w:p>
    <w:p w14:paraId="121EFB88">
      <w:pPr>
        <w:keepNext/>
        <w:keepLines/>
        <w:spacing w:beforeLines="0" w:afterLines="0" w:line="572" w:lineRule="exact"/>
        <w:rPr>
          <w:rFonts w:hint="default" w:ascii="仿宋_GB2312" w:hAnsi="Cambria" w:eastAsia="仿宋_GB2312" w:cs="仿宋_GB2312"/>
          <w:kern w:val="2"/>
          <w:sz w:val="32"/>
          <w:szCs w:val="32"/>
        </w:rPr>
      </w:pPr>
    </w:p>
    <w:p w14:paraId="08807693">
      <w:pPr>
        <w:spacing w:beforeLines="0" w:afterLines="0" w:line="600" w:lineRule="exact"/>
        <w:ind w:firstLine="640" w:firstLineChars="200"/>
        <w:jc w:val="both"/>
        <w:rPr>
          <w:rFonts w:hint="default" w:ascii="宋体" w:hAnsi="Cambria" w:eastAsia="宋体" w:cs="宋体"/>
          <w:sz w:val="32"/>
          <w:szCs w:val="32"/>
        </w:rPr>
      </w:pPr>
      <w:r>
        <w:rPr>
          <w:rFonts w:hint="eastAsia" w:ascii="宋体" w:hAnsi="Cambria" w:cs="宋体"/>
          <w:sz w:val="32"/>
          <w:szCs w:val="32"/>
          <w:lang w:val="en-US" w:eastAsia="zh-CN"/>
        </w:rPr>
        <w:t>本单位2023年无</w:t>
      </w:r>
      <w:r>
        <w:rPr>
          <w:rFonts w:hint="eastAsia" w:ascii="宋体" w:hAnsi="Cambria" w:eastAsia="宋体" w:cs="宋体"/>
          <w:sz w:val="32"/>
          <w:szCs w:val="32"/>
        </w:rPr>
        <w:t>预算项目支出</w:t>
      </w:r>
    </w:p>
    <w:p w14:paraId="2E87C0B1">
      <w:pPr>
        <w:spacing w:beforeLines="0" w:afterLines="0" w:line="600" w:lineRule="exact"/>
        <w:rPr>
          <w:rFonts w:hint="default" w:ascii="仿宋_GB2312" w:hAnsi="Cambria" w:eastAsia="仿宋_GB2312" w:cs="仿宋_GB2312"/>
          <w:sz w:val="32"/>
          <w:szCs w:val="32"/>
        </w:rPr>
      </w:pPr>
    </w:p>
    <w:p w14:paraId="262B9D23">
      <w:pPr>
        <w:spacing w:beforeLines="0" w:afterLines="0"/>
        <w:jc w:val="both"/>
        <w:rPr>
          <w:rFonts w:hint="default" w:ascii="仿宋_GB2312" w:hAnsi="Cambria" w:eastAsia="仿宋_GB2312" w:cs="仿宋_GB2312"/>
          <w:sz w:val="32"/>
          <w:szCs w:val="32"/>
        </w:rPr>
      </w:pPr>
    </w:p>
    <w:p w14:paraId="614E67A0">
      <w:pPr>
        <w:pStyle w:val="6"/>
        <w:rPr>
          <w:rFonts w:hint="eastAsia" w:ascii="宋体"/>
          <w:b/>
          <w:sz w:val="44"/>
          <w:szCs w:val="44"/>
          <w:lang w:val="en-US" w:eastAsia="zh-CN"/>
        </w:rPr>
      </w:pPr>
    </w:p>
    <w:p w14:paraId="068CC30D">
      <w:pPr>
        <w:pStyle w:val="6"/>
        <w:rPr>
          <w:rFonts w:hint="eastAsia" w:hAnsi="宋体" w:cs="宋体"/>
          <w:color w:val="auto"/>
          <w:kern w:val="0"/>
          <w:sz w:val="32"/>
          <w:szCs w:val="32"/>
          <w:highlight w:val="none"/>
          <w:shd w:val="clear" w:color="auto" w:fill="FFFFFF"/>
          <w:lang w:val="en-US" w:eastAsia="zh-CN"/>
        </w:rPr>
      </w:pPr>
    </w:p>
    <w:p w14:paraId="6CD96042">
      <w:pPr>
        <w:pStyle w:val="6"/>
        <w:spacing w:before="93"/>
        <w:rPr>
          <w:rFonts w:hAnsi="Calibri" w:cs="仿宋"/>
          <w:sz w:val="32"/>
          <w:szCs w:val="32"/>
        </w:rPr>
      </w:pPr>
    </w:p>
    <w:p w14:paraId="1343E163">
      <w:pPr>
        <w:pStyle w:val="6"/>
        <w:spacing w:before="93"/>
        <w:rPr>
          <w:rFonts w:hAnsi="Calibri" w:cs="仿宋"/>
          <w:sz w:val="32"/>
          <w:szCs w:val="32"/>
        </w:rPr>
      </w:pPr>
    </w:p>
    <w:p w14:paraId="2ED22917">
      <w:pPr>
        <w:pStyle w:val="6"/>
        <w:spacing w:before="93"/>
        <w:rPr>
          <w:rFonts w:hAnsi="Calibri" w:cs="仿宋"/>
          <w:sz w:val="32"/>
          <w:szCs w:val="32"/>
        </w:rPr>
      </w:pPr>
    </w:p>
    <w:p w14:paraId="52BDC795">
      <w:pPr>
        <w:pStyle w:val="6"/>
        <w:spacing w:before="93"/>
        <w:rPr>
          <w:rFonts w:hAnsi="Calibri" w:cs="仿宋"/>
          <w:sz w:val="32"/>
          <w:szCs w:val="32"/>
        </w:rPr>
      </w:pPr>
    </w:p>
    <w:p w14:paraId="73884C17">
      <w:pPr>
        <w:pStyle w:val="6"/>
        <w:spacing w:before="93"/>
        <w:rPr>
          <w:rFonts w:hAnsi="Calibri" w:cs="仿宋"/>
          <w:sz w:val="32"/>
          <w:szCs w:val="32"/>
        </w:rPr>
      </w:pPr>
    </w:p>
    <w:p w14:paraId="18217E0C">
      <w:pPr>
        <w:pStyle w:val="6"/>
        <w:spacing w:before="93"/>
        <w:rPr>
          <w:rFonts w:hAnsi="Calibri" w:cs="仿宋"/>
          <w:sz w:val="32"/>
          <w:szCs w:val="32"/>
        </w:rPr>
      </w:pPr>
    </w:p>
    <w:p w14:paraId="418FBC41">
      <w:pPr>
        <w:pStyle w:val="6"/>
        <w:spacing w:before="93"/>
        <w:rPr>
          <w:rFonts w:hAnsi="Calibri" w:cs="仿宋"/>
          <w:sz w:val="32"/>
          <w:szCs w:val="32"/>
        </w:rPr>
      </w:pPr>
    </w:p>
    <w:p w14:paraId="6A2A190E">
      <w:pPr>
        <w:pStyle w:val="6"/>
        <w:spacing w:before="93"/>
        <w:rPr>
          <w:rFonts w:hAnsi="Calibri" w:cs="仿宋"/>
          <w:sz w:val="32"/>
          <w:szCs w:val="32"/>
        </w:rPr>
      </w:pPr>
    </w:p>
    <w:p w14:paraId="733EC172">
      <w:pPr>
        <w:pStyle w:val="6"/>
        <w:spacing w:before="93"/>
        <w:rPr>
          <w:rFonts w:hAnsi="Calibri" w:cs="仿宋"/>
          <w:sz w:val="32"/>
          <w:szCs w:val="32"/>
        </w:rPr>
      </w:pPr>
    </w:p>
    <w:p w14:paraId="3B48B2A2">
      <w:pPr>
        <w:pStyle w:val="6"/>
        <w:spacing w:before="93"/>
        <w:rPr>
          <w:rFonts w:hAnsi="Calibri" w:cs="仿宋"/>
          <w:sz w:val="32"/>
          <w:szCs w:val="32"/>
        </w:rPr>
      </w:pPr>
    </w:p>
    <w:p w14:paraId="09DDFCF5">
      <w:pPr>
        <w:pStyle w:val="6"/>
        <w:spacing w:before="93"/>
        <w:rPr>
          <w:rFonts w:hAnsi="Calibri" w:cs="仿宋"/>
          <w:sz w:val="32"/>
          <w:szCs w:val="32"/>
        </w:rPr>
      </w:pPr>
    </w:p>
    <w:p w14:paraId="208EC675">
      <w:pPr>
        <w:spacing w:line="600" w:lineRule="exact"/>
        <w:jc w:val="center"/>
        <w:outlineLvl w:val="0"/>
        <w:rPr>
          <w:rFonts w:hint="eastAsia" w:ascii="黑体" w:hAnsi="黑体" w:eastAsia="黑体"/>
          <w:sz w:val="44"/>
          <w:szCs w:val="44"/>
        </w:rPr>
      </w:pPr>
    </w:p>
    <w:p w14:paraId="0B8BB03C">
      <w:pPr>
        <w:spacing w:line="600" w:lineRule="exact"/>
        <w:jc w:val="center"/>
        <w:outlineLvl w:val="0"/>
        <w:rPr>
          <w:rFonts w:hint="eastAsia" w:ascii="黑体" w:hAnsi="黑体" w:eastAsia="黑体"/>
          <w:sz w:val="44"/>
          <w:szCs w:val="44"/>
        </w:rPr>
      </w:pPr>
    </w:p>
    <w:p w14:paraId="27328681">
      <w:pPr>
        <w:spacing w:line="600" w:lineRule="exact"/>
        <w:jc w:val="center"/>
        <w:outlineLvl w:val="0"/>
        <w:rPr>
          <w:rFonts w:ascii="仿宋" w:hAnsi="仿宋" w:eastAsia="仿宋"/>
        </w:rPr>
      </w:pPr>
      <w:r>
        <w:rPr>
          <w:rFonts w:hint="eastAsia" w:ascii="黑体" w:hAnsi="黑体" w:eastAsia="黑体"/>
          <w:sz w:val="44"/>
          <w:szCs w:val="44"/>
        </w:rPr>
        <w:t>第</w:t>
      </w:r>
      <w:r>
        <w:rPr>
          <w:rStyle w:val="29"/>
          <w:rFonts w:hint="eastAsia" w:ascii="黑体" w:hAnsi="黑体" w:eastAsia="黑体"/>
          <w:b w:val="0"/>
        </w:rPr>
        <w:t>五部分 附表</w:t>
      </w:r>
      <w:bookmarkEnd w:id="50"/>
      <w:bookmarkEnd w:id="51"/>
      <w:bookmarkStart w:id="52" w:name="_Toc15396619"/>
    </w:p>
    <w:p w14:paraId="454D635F">
      <w:pPr>
        <w:pStyle w:val="4"/>
        <w:rPr>
          <w:rFonts w:ascii="仿宋" w:hAnsi="仿宋" w:eastAsia="仿宋"/>
        </w:rPr>
      </w:pPr>
      <w:r>
        <w:rPr>
          <w:rFonts w:hint="eastAsia" w:ascii="仿宋" w:hAnsi="仿宋" w:eastAsia="仿宋"/>
          <w:b w:val="0"/>
        </w:rPr>
        <w:t>一、收</w:t>
      </w:r>
      <w:r>
        <w:rPr>
          <w:rStyle w:val="30"/>
          <w:rFonts w:hint="eastAsia" w:ascii="仿宋" w:hAnsi="仿宋" w:eastAsia="仿宋"/>
          <w:b w:val="0"/>
          <w:bCs w:val="0"/>
        </w:rPr>
        <w:t>入支出决算总表</w:t>
      </w:r>
      <w:bookmarkEnd w:id="52"/>
    </w:p>
    <w:p w14:paraId="2A4966B2">
      <w:pPr>
        <w:pStyle w:val="4"/>
        <w:rPr>
          <w:rFonts w:ascii="仿宋" w:hAnsi="仿宋" w:eastAsia="仿宋"/>
        </w:rPr>
      </w:pPr>
      <w:bookmarkStart w:id="53" w:name="_Toc15396620"/>
      <w:r>
        <w:rPr>
          <w:rFonts w:hint="eastAsia" w:ascii="仿宋" w:hAnsi="仿宋" w:eastAsia="仿宋"/>
          <w:b w:val="0"/>
        </w:rPr>
        <w:t>二、收</w:t>
      </w:r>
      <w:r>
        <w:rPr>
          <w:rStyle w:val="30"/>
          <w:rFonts w:hint="eastAsia" w:ascii="仿宋" w:hAnsi="仿宋" w:eastAsia="仿宋"/>
          <w:b w:val="0"/>
          <w:bCs w:val="0"/>
        </w:rPr>
        <w:t>入决算表</w:t>
      </w:r>
      <w:bookmarkEnd w:id="53"/>
    </w:p>
    <w:p w14:paraId="73B43F4C">
      <w:pPr>
        <w:pStyle w:val="4"/>
        <w:rPr>
          <w:rFonts w:ascii="仿宋" w:hAnsi="仿宋" w:eastAsia="仿宋"/>
        </w:rPr>
      </w:pPr>
      <w:bookmarkStart w:id="54" w:name="_Toc15396621"/>
      <w:r>
        <w:rPr>
          <w:rStyle w:val="30"/>
          <w:rFonts w:hint="eastAsia" w:ascii="仿宋" w:hAnsi="仿宋" w:eastAsia="仿宋"/>
          <w:b w:val="0"/>
          <w:bCs w:val="0"/>
        </w:rPr>
        <w:t>三、</w:t>
      </w:r>
      <w:r>
        <w:rPr>
          <w:rFonts w:hint="eastAsia" w:ascii="仿宋" w:hAnsi="仿宋" w:eastAsia="仿宋"/>
          <w:b w:val="0"/>
        </w:rPr>
        <w:t>支</w:t>
      </w:r>
      <w:r>
        <w:rPr>
          <w:rStyle w:val="30"/>
          <w:rFonts w:hint="eastAsia" w:ascii="仿宋" w:hAnsi="仿宋" w:eastAsia="仿宋"/>
          <w:b w:val="0"/>
          <w:bCs w:val="0"/>
        </w:rPr>
        <w:t>出决算表</w:t>
      </w:r>
      <w:bookmarkEnd w:id="54"/>
    </w:p>
    <w:p w14:paraId="2D3FBB42">
      <w:pPr>
        <w:pStyle w:val="4"/>
        <w:rPr>
          <w:rFonts w:ascii="仿宋" w:hAnsi="仿宋" w:eastAsia="仿宋"/>
          <w:b w:val="0"/>
        </w:rPr>
      </w:pPr>
      <w:bookmarkStart w:id="55" w:name="_Toc15396622"/>
      <w:r>
        <w:rPr>
          <w:rStyle w:val="30"/>
          <w:rFonts w:hint="eastAsia" w:ascii="仿宋" w:hAnsi="仿宋" w:eastAsia="仿宋"/>
          <w:b w:val="0"/>
          <w:bCs w:val="0"/>
        </w:rPr>
        <w:t>四、</w:t>
      </w:r>
      <w:r>
        <w:rPr>
          <w:rFonts w:hint="eastAsia" w:ascii="仿宋" w:hAnsi="仿宋" w:eastAsia="仿宋"/>
          <w:b w:val="0"/>
        </w:rPr>
        <w:t>财</w:t>
      </w:r>
      <w:r>
        <w:rPr>
          <w:rStyle w:val="30"/>
          <w:rFonts w:hint="eastAsia" w:ascii="仿宋" w:hAnsi="仿宋" w:eastAsia="仿宋"/>
          <w:b w:val="0"/>
          <w:bCs w:val="0"/>
        </w:rPr>
        <w:t>政拨款收入支出决算总表</w:t>
      </w:r>
      <w:bookmarkEnd w:id="55"/>
    </w:p>
    <w:p w14:paraId="06E875B5">
      <w:pPr>
        <w:pStyle w:val="4"/>
        <w:rPr>
          <w:rStyle w:val="30"/>
          <w:rFonts w:ascii="仿宋" w:hAnsi="仿宋" w:eastAsia="仿宋"/>
          <w:b w:val="0"/>
          <w:bCs w:val="0"/>
        </w:rPr>
      </w:pPr>
      <w:bookmarkStart w:id="56" w:name="_Toc15396623"/>
      <w:r>
        <w:rPr>
          <w:rStyle w:val="30"/>
          <w:rFonts w:hint="eastAsia" w:ascii="仿宋" w:hAnsi="仿宋" w:eastAsia="仿宋"/>
          <w:b w:val="0"/>
          <w:bCs w:val="0"/>
        </w:rPr>
        <w:t>五、</w:t>
      </w:r>
      <w:r>
        <w:rPr>
          <w:rFonts w:hint="eastAsia" w:ascii="仿宋" w:hAnsi="仿宋" w:eastAsia="仿宋"/>
          <w:b w:val="0"/>
        </w:rPr>
        <w:t>财</w:t>
      </w:r>
      <w:r>
        <w:rPr>
          <w:rStyle w:val="30"/>
          <w:rFonts w:hint="eastAsia" w:ascii="仿宋" w:hAnsi="仿宋" w:eastAsia="仿宋"/>
          <w:b w:val="0"/>
          <w:bCs w:val="0"/>
        </w:rPr>
        <w:t>政拨款支出决算明细表</w:t>
      </w:r>
      <w:bookmarkEnd w:id="56"/>
      <w:bookmarkStart w:id="57" w:name="_Toc15396624"/>
    </w:p>
    <w:p w14:paraId="005E4596">
      <w:pPr>
        <w:pStyle w:val="4"/>
        <w:rPr>
          <w:rFonts w:ascii="仿宋" w:hAnsi="仿宋" w:eastAsia="仿宋"/>
        </w:rPr>
      </w:pPr>
      <w:r>
        <w:rPr>
          <w:rStyle w:val="30"/>
          <w:rFonts w:hint="eastAsia" w:ascii="仿宋" w:hAnsi="仿宋" w:eastAsia="仿宋"/>
          <w:b w:val="0"/>
          <w:bCs w:val="0"/>
        </w:rPr>
        <w:t>六、</w:t>
      </w:r>
      <w:r>
        <w:rPr>
          <w:rFonts w:hint="eastAsia" w:ascii="仿宋" w:hAnsi="仿宋" w:eastAsia="仿宋"/>
          <w:b w:val="0"/>
        </w:rPr>
        <w:t>一</w:t>
      </w:r>
      <w:r>
        <w:rPr>
          <w:rStyle w:val="30"/>
          <w:rFonts w:hint="eastAsia" w:ascii="仿宋" w:hAnsi="仿宋" w:eastAsia="仿宋"/>
          <w:b w:val="0"/>
          <w:bCs w:val="0"/>
        </w:rPr>
        <w:t>般公共预算财政拨款支出决算表</w:t>
      </w:r>
      <w:bookmarkEnd w:id="57"/>
    </w:p>
    <w:p w14:paraId="4BC4D25B">
      <w:pPr>
        <w:pStyle w:val="4"/>
        <w:rPr>
          <w:rFonts w:ascii="仿宋" w:hAnsi="仿宋" w:eastAsia="仿宋"/>
        </w:rPr>
      </w:pPr>
      <w:bookmarkStart w:id="58" w:name="_Toc15396625"/>
      <w:r>
        <w:rPr>
          <w:rStyle w:val="30"/>
          <w:rFonts w:hint="eastAsia" w:ascii="仿宋" w:hAnsi="仿宋" w:eastAsia="仿宋"/>
          <w:b w:val="0"/>
          <w:bCs w:val="0"/>
        </w:rPr>
        <w:t>七、</w:t>
      </w:r>
      <w:r>
        <w:rPr>
          <w:rFonts w:hint="eastAsia" w:ascii="仿宋" w:hAnsi="仿宋" w:eastAsia="仿宋"/>
          <w:b w:val="0"/>
        </w:rPr>
        <w:t>一</w:t>
      </w:r>
      <w:r>
        <w:rPr>
          <w:rStyle w:val="30"/>
          <w:rFonts w:hint="eastAsia" w:ascii="仿宋" w:hAnsi="仿宋" w:eastAsia="仿宋"/>
          <w:b w:val="0"/>
          <w:bCs w:val="0"/>
        </w:rPr>
        <w:t>般公共预算财政拨款支出决算明细表</w:t>
      </w:r>
      <w:bookmarkEnd w:id="58"/>
    </w:p>
    <w:p w14:paraId="2FDD76D2">
      <w:pPr>
        <w:pStyle w:val="4"/>
        <w:rPr>
          <w:rFonts w:ascii="仿宋" w:hAnsi="仿宋" w:eastAsia="仿宋"/>
        </w:rPr>
      </w:pPr>
      <w:bookmarkStart w:id="59" w:name="_Toc15396626"/>
      <w:r>
        <w:rPr>
          <w:rStyle w:val="30"/>
          <w:rFonts w:hint="eastAsia" w:ascii="仿宋" w:hAnsi="仿宋" w:eastAsia="仿宋"/>
          <w:b w:val="0"/>
          <w:bCs w:val="0"/>
        </w:rPr>
        <w:t>八、</w:t>
      </w:r>
      <w:r>
        <w:rPr>
          <w:rFonts w:hint="eastAsia" w:ascii="仿宋" w:hAnsi="仿宋" w:eastAsia="仿宋"/>
          <w:b w:val="0"/>
        </w:rPr>
        <w:t>一</w:t>
      </w:r>
      <w:r>
        <w:rPr>
          <w:rStyle w:val="30"/>
          <w:rFonts w:hint="eastAsia" w:ascii="仿宋" w:hAnsi="仿宋" w:eastAsia="仿宋"/>
          <w:b w:val="0"/>
          <w:bCs w:val="0"/>
        </w:rPr>
        <w:t>般公共预算财政拨款基本支出决算表</w:t>
      </w:r>
      <w:bookmarkEnd w:id="59"/>
    </w:p>
    <w:p w14:paraId="76222A46">
      <w:pPr>
        <w:pStyle w:val="4"/>
        <w:rPr>
          <w:rFonts w:ascii="仿宋" w:hAnsi="仿宋" w:eastAsia="仿宋"/>
        </w:rPr>
      </w:pPr>
      <w:bookmarkStart w:id="60" w:name="_Toc15396627"/>
      <w:r>
        <w:rPr>
          <w:rStyle w:val="30"/>
          <w:rFonts w:hint="eastAsia" w:ascii="仿宋" w:hAnsi="仿宋" w:eastAsia="仿宋"/>
          <w:b w:val="0"/>
          <w:bCs w:val="0"/>
        </w:rPr>
        <w:t>九、</w:t>
      </w:r>
      <w:r>
        <w:rPr>
          <w:rFonts w:hint="eastAsia" w:ascii="仿宋" w:hAnsi="仿宋" w:eastAsia="仿宋"/>
          <w:b w:val="0"/>
        </w:rPr>
        <w:t>一</w:t>
      </w:r>
      <w:r>
        <w:rPr>
          <w:rStyle w:val="30"/>
          <w:rFonts w:hint="eastAsia" w:ascii="仿宋" w:hAnsi="仿宋" w:eastAsia="仿宋"/>
          <w:b w:val="0"/>
          <w:bCs w:val="0"/>
        </w:rPr>
        <w:t>般公共预算财政拨款项目支出决算表</w:t>
      </w:r>
      <w:bookmarkEnd w:id="60"/>
    </w:p>
    <w:p w14:paraId="707FCD52">
      <w:pPr>
        <w:pStyle w:val="4"/>
        <w:rPr>
          <w:rFonts w:ascii="仿宋" w:hAnsi="仿宋" w:eastAsia="仿宋"/>
        </w:rPr>
      </w:pPr>
      <w:bookmarkStart w:id="61" w:name="_Toc15396628"/>
      <w:r>
        <w:rPr>
          <w:rStyle w:val="30"/>
          <w:rFonts w:hint="eastAsia" w:ascii="仿宋" w:hAnsi="仿宋" w:eastAsia="仿宋"/>
          <w:b w:val="0"/>
          <w:bCs w:val="0"/>
        </w:rPr>
        <w:t>十、</w:t>
      </w:r>
      <w:bookmarkEnd w:id="61"/>
      <w:r>
        <w:rPr>
          <w:rFonts w:hint="eastAsia" w:ascii="仿宋" w:hAnsi="仿宋" w:eastAsia="仿宋"/>
          <w:b w:val="0"/>
        </w:rPr>
        <w:t>政</w:t>
      </w:r>
      <w:r>
        <w:rPr>
          <w:rStyle w:val="30"/>
          <w:rFonts w:hint="eastAsia" w:ascii="仿宋" w:hAnsi="仿宋" w:eastAsia="仿宋"/>
          <w:b w:val="0"/>
          <w:bCs w:val="0"/>
        </w:rPr>
        <w:t>府性基金预算财政拨款收入支出决算表</w:t>
      </w:r>
    </w:p>
    <w:p w14:paraId="0E6AD969">
      <w:pPr>
        <w:pStyle w:val="4"/>
        <w:rPr>
          <w:rFonts w:ascii="仿宋" w:hAnsi="仿宋" w:eastAsia="仿宋"/>
        </w:rPr>
      </w:pPr>
      <w:bookmarkStart w:id="62" w:name="_Toc15396629"/>
      <w:r>
        <w:rPr>
          <w:rStyle w:val="30"/>
          <w:rFonts w:hint="eastAsia" w:ascii="仿宋" w:hAnsi="仿宋" w:eastAsia="仿宋"/>
          <w:b w:val="0"/>
          <w:bCs w:val="0"/>
        </w:rPr>
        <w:t>十一、</w:t>
      </w:r>
      <w:bookmarkEnd w:id="62"/>
      <w:r>
        <w:rPr>
          <w:rFonts w:hint="eastAsia" w:ascii="仿宋" w:hAnsi="仿宋" w:eastAsia="仿宋"/>
          <w:b w:val="0"/>
        </w:rPr>
        <w:t>国</w:t>
      </w:r>
      <w:r>
        <w:rPr>
          <w:rStyle w:val="30"/>
          <w:rFonts w:hint="eastAsia" w:ascii="仿宋" w:hAnsi="仿宋" w:eastAsia="仿宋"/>
          <w:b w:val="0"/>
          <w:bCs w:val="0"/>
        </w:rPr>
        <w:t>有资本经营预算财政拨款收入支出决算表</w:t>
      </w:r>
    </w:p>
    <w:p w14:paraId="15173F01">
      <w:pPr>
        <w:pStyle w:val="4"/>
        <w:rPr>
          <w:rFonts w:ascii="仿宋" w:hAnsi="仿宋" w:eastAsia="仿宋"/>
        </w:rPr>
      </w:pPr>
      <w:bookmarkStart w:id="63" w:name="_Toc15396630"/>
      <w:r>
        <w:rPr>
          <w:rStyle w:val="30"/>
          <w:rFonts w:hint="eastAsia" w:ascii="仿宋" w:hAnsi="仿宋" w:eastAsia="仿宋"/>
          <w:b w:val="0"/>
          <w:bCs w:val="0"/>
        </w:rPr>
        <w:t>十二、</w:t>
      </w:r>
      <w:bookmarkEnd w:id="63"/>
      <w:r>
        <w:rPr>
          <w:rStyle w:val="30"/>
          <w:rFonts w:hint="eastAsia" w:ascii="仿宋" w:hAnsi="仿宋" w:eastAsia="仿宋"/>
          <w:b w:val="0"/>
          <w:bCs w:val="0"/>
        </w:rPr>
        <w:t>国有资本经营预算财政拨款支出决算表</w:t>
      </w:r>
    </w:p>
    <w:p w14:paraId="2A7BC955">
      <w:pPr>
        <w:pStyle w:val="4"/>
        <w:rPr>
          <w:rFonts w:eastAsia="仿宋"/>
        </w:rPr>
      </w:pPr>
      <w:bookmarkStart w:id="64" w:name="_Toc15396631"/>
      <w:r>
        <w:rPr>
          <w:rStyle w:val="30"/>
          <w:rFonts w:hint="eastAsia" w:ascii="仿宋" w:hAnsi="仿宋" w:eastAsia="仿宋"/>
          <w:b w:val="0"/>
          <w:bCs w:val="0"/>
        </w:rPr>
        <w:t>十三、</w:t>
      </w:r>
      <w:bookmarkEnd w:id="64"/>
      <w:r>
        <w:rPr>
          <w:rStyle w:val="30"/>
          <w:rFonts w:hint="eastAsia" w:ascii="仿宋" w:hAnsi="仿宋" w:eastAsia="仿宋"/>
          <w:b w:val="0"/>
          <w:bCs w:val="0"/>
        </w:rPr>
        <w:t>财政拨款“三公”经费支出决算表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6477BE20">
        <w:pPr>
          <w:pStyle w:val="10"/>
          <w:jc w:val="center"/>
        </w:pPr>
        <w:r>
          <w:fldChar w:fldCharType="begin"/>
        </w:r>
        <w:r>
          <w:instrText xml:space="preserve">PAGE   \* MERGEFORMAT</w:instrText>
        </w:r>
        <w:r>
          <w:fldChar w:fldCharType="separate"/>
        </w:r>
        <w:r>
          <w:rPr>
            <w:lang w:val="zh-CN"/>
          </w:rPr>
          <w:t>15</w:t>
        </w:r>
        <w:r>
          <w:fldChar w:fldCharType="end"/>
        </w:r>
      </w:p>
    </w:sdtContent>
  </w:sdt>
  <w:p w14:paraId="7DD93EFF">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52FA1">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954CF"/>
    <w:multiLevelType w:val="singleLevel"/>
    <w:tmpl w:val="82F954CF"/>
    <w:lvl w:ilvl="0" w:tentative="0">
      <w:start w:val="1"/>
      <w:numFmt w:val="decimal"/>
      <w:lvlText w:val="%1."/>
      <w:lvlJc w:val="left"/>
      <w:pPr>
        <w:tabs>
          <w:tab w:val="left" w:pos="312"/>
        </w:tabs>
      </w:p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3818A09A"/>
    <w:multiLevelType w:val="singleLevel"/>
    <w:tmpl w:val="3818A09A"/>
    <w:lvl w:ilvl="0" w:tentative="0">
      <w:start w:val="1"/>
      <w:numFmt w:val="chineseCounting"/>
      <w:suff w:val="nothing"/>
      <w:lvlText w:val="%1、"/>
      <w:lvlJc w:val="left"/>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kMjQ1ZWEzMGEyZjdhMGExYmIxOGVkYWEzMmFmNj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772A4"/>
    <w:rsid w:val="0270061D"/>
    <w:rsid w:val="03D1333D"/>
    <w:rsid w:val="03DC2831"/>
    <w:rsid w:val="05084BEB"/>
    <w:rsid w:val="06120007"/>
    <w:rsid w:val="081B5E94"/>
    <w:rsid w:val="082C4FE6"/>
    <w:rsid w:val="0A2032A3"/>
    <w:rsid w:val="0B8A37D8"/>
    <w:rsid w:val="0E7E19AE"/>
    <w:rsid w:val="0ECA7307"/>
    <w:rsid w:val="0F5FFB2F"/>
    <w:rsid w:val="0FFFCF60"/>
    <w:rsid w:val="10C055FF"/>
    <w:rsid w:val="118107EC"/>
    <w:rsid w:val="118714DF"/>
    <w:rsid w:val="11DD6519"/>
    <w:rsid w:val="16504596"/>
    <w:rsid w:val="16BB723D"/>
    <w:rsid w:val="18015F3F"/>
    <w:rsid w:val="1BE8440E"/>
    <w:rsid w:val="1D155CEE"/>
    <w:rsid w:val="1FDBBF84"/>
    <w:rsid w:val="20F57F95"/>
    <w:rsid w:val="21F77FBB"/>
    <w:rsid w:val="236F177F"/>
    <w:rsid w:val="240371BF"/>
    <w:rsid w:val="24EA355B"/>
    <w:rsid w:val="25711CC6"/>
    <w:rsid w:val="25C741E6"/>
    <w:rsid w:val="26C257B6"/>
    <w:rsid w:val="276F80C0"/>
    <w:rsid w:val="27842671"/>
    <w:rsid w:val="29FD04D3"/>
    <w:rsid w:val="2ABE7A3E"/>
    <w:rsid w:val="2AFF09B6"/>
    <w:rsid w:val="2AFF5299"/>
    <w:rsid w:val="2CA234A8"/>
    <w:rsid w:val="2E516CA5"/>
    <w:rsid w:val="2EFA178C"/>
    <w:rsid w:val="2EFDF86C"/>
    <w:rsid w:val="2F9D17E1"/>
    <w:rsid w:val="30B46D73"/>
    <w:rsid w:val="319F7F4E"/>
    <w:rsid w:val="32DA54BB"/>
    <w:rsid w:val="34FA3BF3"/>
    <w:rsid w:val="356A28F1"/>
    <w:rsid w:val="357C035A"/>
    <w:rsid w:val="36853990"/>
    <w:rsid w:val="368E000D"/>
    <w:rsid w:val="383D272C"/>
    <w:rsid w:val="39AE70AB"/>
    <w:rsid w:val="3A4DCE41"/>
    <w:rsid w:val="3BCB56FA"/>
    <w:rsid w:val="3C0C0783"/>
    <w:rsid w:val="3C203630"/>
    <w:rsid w:val="3C8A4120"/>
    <w:rsid w:val="3E234D31"/>
    <w:rsid w:val="3EE7C2F4"/>
    <w:rsid w:val="3F371B56"/>
    <w:rsid w:val="3F792ED8"/>
    <w:rsid w:val="3F9F3A96"/>
    <w:rsid w:val="3FC92B3F"/>
    <w:rsid w:val="3FECA4B2"/>
    <w:rsid w:val="3FF58C48"/>
    <w:rsid w:val="42FF6694"/>
    <w:rsid w:val="48BF60AB"/>
    <w:rsid w:val="493C27E9"/>
    <w:rsid w:val="496F39ED"/>
    <w:rsid w:val="49FF41D3"/>
    <w:rsid w:val="4A677B24"/>
    <w:rsid w:val="4BE068DB"/>
    <w:rsid w:val="4BF6002B"/>
    <w:rsid w:val="4BFFC6BE"/>
    <w:rsid w:val="4C547C35"/>
    <w:rsid w:val="4C6D0CF6"/>
    <w:rsid w:val="4C950E69"/>
    <w:rsid w:val="4E7E01F5"/>
    <w:rsid w:val="4ECE2238"/>
    <w:rsid w:val="51DB4B86"/>
    <w:rsid w:val="51F64DB0"/>
    <w:rsid w:val="535652D3"/>
    <w:rsid w:val="55333C3E"/>
    <w:rsid w:val="560C332E"/>
    <w:rsid w:val="571406EC"/>
    <w:rsid w:val="5C5135C2"/>
    <w:rsid w:val="5F67802D"/>
    <w:rsid w:val="5F7DC4F2"/>
    <w:rsid w:val="5FB36814"/>
    <w:rsid w:val="5FBB8E56"/>
    <w:rsid w:val="5FFB5535"/>
    <w:rsid w:val="64CA39A1"/>
    <w:rsid w:val="66EA3218"/>
    <w:rsid w:val="67FA4F92"/>
    <w:rsid w:val="6925777F"/>
    <w:rsid w:val="69630ADE"/>
    <w:rsid w:val="69931944"/>
    <w:rsid w:val="69BD5F13"/>
    <w:rsid w:val="69E55F18"/>
    <w:rsid w:val="69FB0B4B"/>
    <w:rsid w:val="6A5138DA"/>
    <w:rsid w:val="6BFFE1FB"/>
    <w:rsid w:val="6C4A05C8"/>
    <w:rsid w:val="6D3B1A89"/>
    <w:rsid w:val="6DB7D8A3"/>
    <w:rsid w:val="6EC78701"/>
    <w:rsid w:val="6F7A5481"/>
    <w:rsid w:val="6FFE07A9"/>
    <w:rsid w:val="71BF4EC2"/>
    <w:rsid w:val="72734D90"/>
    <w:rsid w:val="733C4DFB"/>
    <w:rsid w:val="73E75B71"/>
    <w:rsid w:val="7412278C"/>
    <w:rsid w:val="75DDCDA9"/>
    <w:rsid w:val="75FF44B1"/>
    <w:rsid w:val="77456248"/>
    <w:rsid w:val="77670518"/>
    <w:rsid w:val="777FA627"/>
    <w:rsid w:val="77DF1B5F"/>
    <w:rsid w:val="77EF2D9D"/>
    <w:rsid w:val="78A829E5"/>
    <w:rsid w:val="79E7B28D"/>
    <w:rsid w:val="7ACFF0C2"/>
    <w:rsid w:val="7AFB9108"/>
    <w:rsid w:val="7BD5340C"/>
    <w:rsid w:val="7BFB19D2"/>
    <w:rsid w:val="7BFD1750"/>
    <w:rsid w:val="7BFDAA1B"/>
    <w:rsid w:val="7CDF9A82"/>
    <w:rsid w:val="7CFFA1BD"/>
    <w:rsid w:val="7D2E3F7A"/>
    <w:rsid w:val="7D957F29"/>
    <w:rsid w:val="7DED9490"/>
    <w:rsid w:val="7DFF4872"/>
    <w:rsid w:val="7E7487E6"/>
    <w:rsid w:val="7E7C2A54"/>
    <w:rsid w:val="7EEEFD72"/>
    <w:rsid w:val="7F1D517C"/>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Body Text"/>
    <w:basedOn w:val="1"/>
    <w:link w:val="26"/>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2"/>
    <w:semiHidden/>
    <w:unhideWhenUsed/>
    <w:qFormat/>
    <w:uiPriority w:val="99"/>
    <w:rPr>
      <w:sz w:val="18"/>
      <w:szCs w:val="18"/>
    </w:rPr>
  </w:style>
  <w:style w:type="paragraph" w:styleId="10">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2"/>
    <w:basedOn w:val="7"/>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章标题"/>
    <w:basedOn w:val="1"/>
    <w:next w:val="20"/>
    <w:qFormat/>
    <w:uiPriority w:val="99"/>
    <w:pPr>
      <w:spacing w:before="158" w:after="153" w:line="323" w:lineRule="atLeast"/>
      <w:ind w:right="-120"/>
      <w:jc w:val="center"/>
      <w:textAlignment w:val="baseline"/>
    </w:pPr>
    <w:rPr>
      <w:color w:val="FF0000"/>
      <w:sz w:val="18"/>
    </w:rPr>
  </w:style>
  <w:style w:type="paragraph" w:customStyle="1" w:styleId="20">
    <w:name w:val="节标题"/>
    <w:basedOn w:val="1"/>
    <w:next w:val="1"/>
    <w:qFormat/>
    <w:uiPriority w:val="99"/>
    <w:pPr>
      <w:spacing w:line="289" w:lineRule="atLeast"/>
      <w:jc w:val="center"/>
      <w:textAlignment w:val="baseline"/>
    </w:pPr>
    <w:rPr>
      <w:color w:val="000000"/>
      <w:sz w:val="28"/>
    </w:rPr>
  </w:style>
  <w:style w:type="character" w:customStyle="1" w:styleId="21">
    <w:name w:val="Header Char"/>
    <w:basedOn w:val="16"/>
    <w:semiHidden/>
    <w:qFormat/>
    <w:uiPriority w:val="99"/>
    <w:rPr>
      <w:rFonts w:ascii="Times New Roman" w:hAnsi="Times New Roman"/>
      <w:sz w:val="18"/>
      <w:szCs w:val="18"/>
    </w:rPr>
  </w:style>
  <w:style w:type="character" w:customStyle="1" w:styleId="22">
    <w:name w:val="页眉 字符"/>
    <w:link w:val="11"/>
    <w:semiHidden/>
    <w:qFormat/>
    <w:locked/>
    <w:uiPriority w:val="99"/>
    <w:rPr>
      <w:sz w:val="18"/>
    </w:rPr>
  </w:style>
  <w:style w:type="character" w:customStyle="1" w:styleId="23">
    <w:name w:val="Footer Char"/>
    <w:basedOn w:val="16"/>
    <w:semiHidden/>
    <w:qFormat/>
    <w:uiPriority w:val="99"/>
    <w:rPr>
      <w:rFonts w:ascii="Times New Roman" w:hAnsi="Times New Roman"/>
      <w:sz w:val="18"/>
      <w:szCs w:val="18"/>
    </w:rPr>
  </w:style>
  <w:style w:type="character" w:customStyle="1" w:styleId="24">
    <w:name w:val="页脚 字符"/>
    <w:link w:val="10"/>
    <w:qFormat/>
    <w:locked/>
    <w:uiPriority w:val="99"/>
    <w:rPr>
      <w:sz w:val="18"/>
    </w:rPr>
  </w:style>
  <w:style w:type="character" w:customStyle="1" w:styleId="25">
    <w:name w:val="Body Text Char"/>
    <w:basedOn w:val="16"/>
    <w:semiHidden/>
    <w:qFormat/>
    <w:uiPriority w:val="99"/>
    <w:rPr>
      <w:rFonts w:ascii="Times New Roman" w:hAnsi="Times New Roman"/>
      <w:szCs w:val="24"/>
    </w:rPr>
  </w:style>
  <w:style w:type="character" w:customStyle="1" w:styleId="26">
    <w:name w:val="正文文本 字符"/>
    <w:link w:val="6"/>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字符"/>
    <w:basedOn w:val="16"/>
    <w:link w:val="3"/>
    <w:qFormat/>
    <w:uiPriority w:val="9"/>
    <w:rPr>
      <w:rFonts w:ascii="Times New Roman" w:hAnsi="Times New Roman"/>
      <w:b/>
      <w:bCs/>
      <w:kern w:val="44"/>
      <w:sz w:val="44"/>
      <w:szCs w:val="44"/>
    </w:rPr>
  </w:style>
  <w:style w:type="character" w:customStyle="1" w:styleId="30">
    <w:name w:val="标题 2 字符"/>
    <w:basedOn w:val="16"/>
    <w:link w:val="4"/>
    <w:qFormat/>
    <w:uiPriority w:val="9"/>
    <w:rPr>
      <w:rFonts w:asciiTheme="majorHAnsi" w:hAnsiTheme="majorHAnsi" w:eastAsiaTheme="majorEastAsia" w:cstheme="majorBidi"/>
      <w:b/>
      <w:bCs/>
      <w:kern w:val="2"/>
      <w:sz w:val="32"/>
      <w:szCs w:val="32"/>
    </w:r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字符"/>
    <w:basedOn w:val="16"/>
    <w:link w:val="9"/>
    <w:semiHidden/>
    <w:qFormat/>
    <w:uiPriority w:val="99"/>
    <w:rPr>
      <w:rFonts w:ascii="Times New Roman" w:hAnsi="Times New Roman"/>
      <w:kern w:val="2"/>
      <w:sz w:val="18"/>
      <w:szCs w:val="18"/>
    </w:rPr>
  </w:style>
  <w:style w:type="character" w:customStyle="1" w:styleId="33">
    <w:name w:val="标题 3 字符"/>
    <w:basedOn w:val="16"/>
    <w:link w:val="5"/>
    <w:qFormat/>
    <w:uiPriority w:val="9"/>
    <w:rPr>
      <w:rFonts w:ascii="Times New Roman" w:hAnsi="Times New Roman"/>
      <w:b/>
      <w:bCs/>
      <w:kern w:val="2"/>
      <w:sz w:val="32"/>
      <w:szCs w:val="32"/>
    </w:rPr>
  </w:style>
  <w:style w:type="paragraph" w:customStyle="1" w:styleId="34">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默认段落字体2"/>
    <w:qFormat/>
    <w:uiPriority w:val="0"/>
    <w:rPr>
      <w:sz w:val="22"/>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图1：收支决算总计变动情况图（万元）</a:t>
            </a:r>
          </a:p>
        </c:rich>
      </c:tx>
      <c:layout/>
      <c:overlay val="0"/>
      <c:spPr>
        <a:noFill/>
        <a:ln>
          <a:noFill/>
        </a:ln>
        <a:effectLst/>
      </c:spPr>
    </c:title>
    <c:autoTitleDeleted val="0"/>
    <c:plotArea>
      <c:layout>
        <c:manualLayout>
          <c:layoutTarget val="inner"/>
          <c:xMode val="edge"/>
          <c:yMode val="edge"/>
          <c:x val="0.035352723766672"/>
          <c:y val="0.237697841726619"/>
          <c:w val="0.936204403021051"/>
          <c:h val="0.618820143884892"/>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2022年度</c:v>
                </c:pt>
                <c:pt idx="1">
                  <c:v>2023年度</c:v>
                </c:pt>
              </c:strCache>
            </c:strRef>
          </c:cat>
          <c:val>
            <c:numRef>
              <c:f>Sheet1!$B$2:$B$3</c:f>
              <c:numCache>
                <c:formatCode>General</c:formatCode>
                <c:ptCount val="2"/>
                <c:pt idx="0">
                  <c:v>444.88</c:v>
                </c:pt>
                <c:pt idx="1">
                  <c:v>443.58</c:v>
                </c:pt>
              </c:numCache>
            </c:numRef>
          </c:val>
        </c:ser>
        <c:dLbls>
          <c:showLegendKey val="0"/>
          <c:showVal val="1"/>
          <c:showCatName val="0"/>
          <c:showSerName val="0"/>
          <c:showPercent val="0"/>
          <c:showBubbleSize val="0"/>
        </c:dLbls>
        <c:gapWidth val="246"/>
        <c:overlap val="-28"/>
        <c:axId val="458382375"/>
        <c:axId val="175555877"/>
      </c:barChart>
      <c:catAx>
        <c:axId val="458382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5555877"/>
        <c:crosses val="autoZero"/>
        <c:auto val="1"/>
        <c:lblAlgn val="ctr"/>
        <c:lblOffset val="100"/>
        <c:noMultiLvlLbl val="0"/>
      </c:catAx>
      <c:valAx>
        <c:axId val="17555587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838237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a:t>
            </a:r>
            <a:r>
              <a:rPr lang="en-US" altLang="zh-CN"/>
              <a:t>3</a:t>
            </a:r>
            <a:r>
              <a:rPr altLang="en-US"/>
              <a:t>：</a:t>
            </a:r>
            <a:r>
              <a:t>支出决算结构图</a:t>
            </a:r>
          </a:p>
        </c:rich>
      </c:tx>
      <c:layout>
        <c:manualLayout>
          <c:xMode val="edge"/>
          <c:yMode val="edge"/>
          <c:x val="0.378714665378111"/>
          <c:y val="0.0446238844028899"/>
        </c:manualLayout>
      </c:layout>
      <c:overlay val="0"/>
      <c:spPr>
        <a:noFill/>
        <a:ln>
          <a:noFill/>
        </a:ln>
        <a:effectLst/>
      </c:spPr>
    </c:title>
    <c:autoTitleDeleted val="0"/>
    <c:plotArea>
      <c:layout/>
      <c:pieChart>
        <c:varyColors val="1"/>
        <c:ser>
          <c:idx val="0"/>
          <c:order val="0"/>
          <c:tx>
            <c:strRef>
              <c:f>Sheet1!$B$1</c:f>
              <c:strCache>
                <c:ptCount val="1"/>
                <c:pt idx="0">
                  <c:v>列1</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基本支出443.58万元</c:v>
                </c:pt>
              </c:strCache>
            </c:strRef>
          </c:cat>
          <c:val>
            <c:numRef>
              <c:f>Sheet1!$B$2:$B$5</c:f>
              <c:numCache>
                <c:formatCode>0%</c:formatCode>
                <c:ptCount val="4"/>
                <c:pt idx="0">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图4：财政拨款收、支决算总计变动情况</a:t>
            </a:r>
          </a:p>
        </c:rich>
      </c:tx>
      <c:layout>
        <c:manualLayout>
          <c:xMode val="edge"/>
          <c:yMode val="edge"/>
          <c:x val="0.196489087705029"/>
          <c:y val="0.0450992182802165"/>
        </c:manualLayout>
      </c:layout>
      <c:overlay val="0"/>
      <c:spPr>
        <a:noFill/>
        <a:ln>
          <a:noFill/>
        </a:ln>
        <a:effectLst/>
      </c:spPr>
    </c:title>
    <c:autoTitleDeleted val="0"/>
    <c:plotArea>
      <c:layout>
        <c:manualLayout>
          <c:layoutTarget val="inner"/>
          <c:xMode val="edge"/>
          <c:yMode val="edge"/>
          <c:x val="0.0239934932899553"/>
          <c:y val="0.327438348016863"/>
          <c:w val="0.85658126609733"/>
          <c:h val="0.531689717378232"/>
        </c:manualLayout>
      </c:layout>
      <c:barChart>
        <c:barDir val="col"/>
        <c:grouping val="clustered"/>
        <c:varyColors val="0"/>
        <c:ser>
          <c:idx val="0"/>
          <c:order val="0"/>
          <c:tx>
            <c:strRef>
              <c:f>Sheet1!$B$1</c:f>
              <c:strCache>
                <c:ptCount val="1"/>
                <c:pt idx="0">
                  <c:v>财政拨款收、支总计（万元）</c:v>
                </c:pt>
              </c:strCache>
            </c:strRef>
          </c:tx>
          <c:spPr>
            <a:solidFill>
              <a:schemeClr val="accent1"/>
            </a:solidFill>
            <a:ln>
              <a:noFill/>
            </a:ln>
            <a:effectLst/>
          </c:spPr>
          <c:invertIfNegative val="0"/>
          <c:dPt>
            <c:idx val="1"/>
            <c:invertIfNegative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2022年度</c:v>
                </c:pt>
                <c:pt idx="1">
                  <c:v>2023年度</c:v>
                </c:pt>
              </c:strCache>
            </c:strRef>
          </c:cat>
          <c:val>
            <c:numRef>
              <c:f>Sheet1!$B$2:$B$3</c:f>
              <c:numCache>
                <c:formatCode>General</c:formatCode>
                <c:ptCount val="2"/>
                <c:pt idx="0">
                  <c:v>444.88</c:v>
                </c:pt>
                <c:pt idx="1">
                  <c:v>443.58</c:v>
                </c:pt>
              </c:numCache>
            </c:numRef>
          </c:val>
        </c:ser>
        <c:ser>
          <c:idx val="1"/>
          <c:order val="1"/>
          <c:tx>
            <c:strRef>
              <c:f>Sheet1!#REF!</c:f>
              <c:strCache>
                <c:ptCount val="1"/>
                <c:pt idx="0">
                  <c:v/>
                </c:pt>
              </c:strCache>
            </c:strRef>
          </c:tx>
          <c:spPr>
            <a:solidFill>
              <a:schemeClr val="accent2"/>
            </a:solidFill>
            <a:ln>
              <a:noFill/>
            </a:ln>
            <a:effectLst/>
          </c:spPr>
          <c:invertIfNegative val="0"/>
          <c:dLbls>
            <c:dLbl>
              <c:idx val="0"/>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2022年度</c:v>
                </c:pt>
                <c:pt idx="1">
                  <c:v>2023年度</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solidFill>
            <a:ln>
              <a:noFill/>
            </a:ln>
            <a:effectLst/>
          </c:spPr>
          <c:invertIfNegative val="0"/>
          <c:dLbls>
            <c:dLbl>
              <c:idx val="0"/>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2022年度</c:v>
                </c:pt>
                <c:pt idx="1">
                  <c:v>2023年度</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60"/>
        <c:overlap val="-32"/>
        <c:axId val="217333583"/>
        <c:axId val="768438055"/>
      </c:barChart>
      <c:catAx>
        <c:axId val="21733358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8438055"/>
        <c:crosses val="autoZero"/>
        <c:auto val="1"/>
        <c:lblAlgn val="ctr"/>
        <c:lblOffset val="100"/>
        <c:noMultiLvlLbl val="0"/>
      </c:catAx>
      <c:valAx>
        <c:axId val="768438055"/>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7333583"/>
        <c:crosses val="autoZero"/>
        <c:crossBetween val="between"/>
      </c:valAx>
      <c:spPr>
        <a:noFill/>
        <a:ln>
          <a:noFill/>
        </a:ln>
        <a:effectLst/>
      </c:spPr>
    </c:plotArea>
    <c:legend>
      <c:legendPos val="t"/>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a:t>
            </a:r>
            <a:r>
              <a:rPr lang="en-US" altLang="zh-CN"/>
              <a:t>5</a:t>
            </a:r>
            <a:r>
              <a:rPr altLang="en-US"/>
              <a:t>：</a:t>
            </a:r>
            <a:r>
              <a:t>一般公共预算财政拨款支出决算变动情况</a:t>
            </a:r>
          </a:p>
        </c:rich>
      </c:tx>
      <c:layout>
        <c:manualLayout>
          <c:xMode val="edge"/>
          <c:yMode val="edge"/>
          <c:x val="0.111994101261675"/>
          <c:y val="0.0151668351870576"/>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一般公共预算财政拨款支出决算（万元）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2022年度</c:v>
                </c:pt>
                <c:pt idx="1">
                  <c:v>2023年度</c:v>
                </c:pt>
              </c:strCache>
            </c:strRef>
          </c:cat>
          <c:val>
            <c:numRef>
              <c:f>Sheet1!$B$2:$B$3</c:f>
              <c:numCache>
                <c:formatCode>General</c:formatCode>
                <c:ptCount val="2"/>
                <c:pt idx="0">
                  <c:v>444.88</c:v>
                </c:pt>
                <c:pt idx="1">
                  <c:v>443.58</c:v>
                </c:pt>
              </c:numCache>
            </c:numRef>
          </c:val>
        </c:ser>
        <c:dLbls>
          <c:showLegendKey val="0"/>
          <c:showVal val="1"/>
          <c:showCatName val="0"/>
          <c:showSerName val="0"/>
          <c:showPercent val="0"/>
          <c:showBubbleSize val="0"/>
        </c:dLbls>
        <c:gapWidth val="260"/>
        <c:overlap val="-32"/>
        <c:axId val="217333583"/>
        <c:axId val="768438055"/>
      </c:barChart>
      <c:catAx>
        <c:axId val="21733358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8438055"/>
        <c:crosses val="autoZero"/>
        <c:auto val="1"/>
        <c:lblAlgn val="ctr"/>
        <c:lblOffset val="100"/>
        <c:noMultiLvlLbl val="0"/>
      </c:catAx>
      <c:valAx>
        <c:axId val="768438055"/>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7333583"/>
        <c:crosses val="autoZero"/>
        <c:crossBetween val="between"/>
      </c:valAx>
      <c:spPr>
        <a:noFill/>
        <a:ln>
          <a:noFill/>
        </a:ln>
        <a:effectLst/>
      </c:spPr>
    </c:plotArea>
    <c:legend>
      <c:legendPos val="t"/>
      <c:layout>
        <c:manualLayout>
          <c:xMode val="edge"/>
          <c:yMode val="edge"/>
          <c:x val="0.215467802719974"/>
          <c:y val="0.271654870239299"/>
          <c:w val="0.600852039980338"/>
          <c:h val="0.099089989888776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15</Pages>
  <Words>3924</Words>
  <Characters>4254</Characters>
  <Lines>54</Lines>
  <Paragraphs>15</Paragraphs>
  <TotalTime>2</TotalTime>
  <ScaleCrop>false</ScaleCrop>
  <LinksUpToDate>false</LinksUpToDate>
  <CharactersWithSpaces>4285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射洪市市教育体育局</cp:lastModifiedBy>
  <cp:lastPrinted>2023-08-03T02:35:00Z</cp:lastPrinted>
  <dcterms:modified xsi:type="dcterms:W3CDTF">2024-09-11T03:49:40Z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2FA5AF56B8EF4575A33CE9F334389850_13</vt:lpwstr>
  </property>
</Properties>
</file>