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9643F6">
      <w:pPr>
        <w:spacing w:line="600" w:lineRule="exact"/>
        <w:jc w:val="center"/>
        <w:outlineLvl w:val="9"/>
        <w:rPr>
          <w:rFonts w:ascii="Arial Unicode MS" w:hAnsi="宋体" w:eastAsia="Arial Unicode MS"/>
          <w:sz w:val="72"/>
          <w:szCs w:val="72"/>
        </w:rPr>
      </w:pPr>
      <w:bookmarkStart w:id="0" w:name="_Toc15396475"/>
      <w:bookmarkStart w:id="1" w:name="_Toc15377425"/>
      <w:bookmarkStart w:id="2" w:name="_Toc15378441"/>
      <w:bookmarkStart w:id="3" w:name="_Toc15306267"/>
      <w:bookmarkStart w:id="4" w:name="_Toc15377193"/>
      <w:bookmarkStart w:id="5" w:name="_Toc15396597"/>
    </w:p>
    <w:p w14:paraId="13ABB5D3">
      <w:pPr>
        <w:pStyle w:val="6"/>
        <w:spacing w:before="93"/>
      </w:pPr>
    </w:p>
    <w:p w14:paraId="7A9F479D">
      <w:pPr>
        <w:spacing w:line="600" w:lineRule="exact"/>
        <w:jc w:val="center"/>
        <w:outlineLvl w:val="9"/>
        <w:rPr>
          <w:rFonts w:ascii="Arial Unicode MS" w:hAnsi="宋体" w:eastAsia="Arial Unicode MS"/>
          <w:sz w:val="72"/>
          <w:szCs w:val="72"/>
        </w:rPr>
      </w:pPr>
    </w:p>
    <w:p w14:paraId="3481E497">
      <w:pPr>
        <w:spacing w:line="600" w:lineRule="exact"/>
        <w:jc w:val="center"/>
        <w:outlineLvl w:val="9"/>
        <w:rPr>
          <w:rFonts w:ascii="Arial Unicode MS" w:hAnsi="宋体" w:eastAsia="Arial Unicode MS"/>
          <w:sz w:val="72"/>
          <w:szCs w:val="72"/>
        </w:rPr>
      </w:pPr>
    </w:p>
    <w:bookmarkEnd w:id="0"/>
    <w:bookmarkEnd w:id="1"/>
    <w:bookmarkEnd w:id="2"/>
    <w:bookmarkEnd w:id="3"/>
    <w:bookmarkEnd w:id="4"/>
    <w:bookmarkEnd w:id="5"/>
    <w:p w14:paraId="52BEA2CF">
      <w:pPr>
        <w:bidi w:val="0"/>
        <w:jc w:val="center"/>
        <w:rPr>
          <w:rFonts w:ascii="Arial Unicode MS" w:hAnsi="宋体" w:eastAsia="Arial Unicode MS"/>
          <w:color w:val="000000"/>
          <w:sz w:val="72"/>
          <w:szCs w:val="72"/>
        </w:rPr>
      </w:pPr>
      <w:bookmarkStart w:id="6" w:name="_Toc24623"/>
      <w:r>
        <w:rPr>
          <w:rFonts w:ascii="黑体" w:hAnsi="黑体" w:eastAsia="黑体"/>
          <w:color w:val="000000"/>
          <w:sz w:val="72"/>
          <w:szCs w:val="72"/>
        </w:rPr>
        <w:t>202</w:t>
      </w:r>
      <w:r>
        <w:rPr>
          <w:rFonts w:hint="eastAsia" w:ascii="黑体" w:hAnsi="黑体" w:eastAsia="黑体"/>
          <w:color w:val="000000"/>
          <w:sz w:val="72"/>
          <w:szCs w:val="72"/>
          <w:lang w:val="en-US" w:eastAsia="zh-CN"/>
        </w:rPr>
        <w:t>3</w:t>
      </w:r>
      <w:r>
        <w:rPr>
          <w:rFonts w:hint="eastAsia" w:ascii="Arial Unicode MS" w:hAnsi="宋体" w:eastAsia="Arial Unicode MS"/>
          <w:color w:val="000000"/>
          <w:sz w:val="72"/>
          <w:szCs w:val="72"/>
        </w:rPr>
        <w:t>年度</w:t>
      </w:r>
      <w:bookmarkEnd w:id="6"/>
    </w:p>
    <w:p w14:paraId="272CB813">
      <w:pPr>
        <w:bidi w:val="0"/>
        <w:jc w:val="center"/>
        <w:rPr>
          <w:rFonts w:hint="eastAsia"/>
          <w:b/>
          <w:bCs/>
          <w:sz w:val="72"/>
          <w:szCs w:val="72"/>
          <w:lang w:eastAsia="zh-CN"/>
        </w:rPr>
      </w:pPr>
      <w:bookmarkStart w:id="7" w:name="_Toc1852"/>
      <w:bookmarkStart w:id="8" w:name="_Toc15378442"/>
      <w:bookmarkStart w:id="9" w:name="_Toc15396476"/>
      <w:bookmarkStart w:id="10" w:name="_Toc15377194"/>
      <w:bookmarkStart w:id="11" w:name="_Toc15377426"/>
      <w:bookmarkStart w:id="12" w:name="_Toc15396598"/>
      <w:r>
        <w:rPr>
          <w:rFonts w:hint="eastAsia"/>
          <w:b/>
          <w:bCs/>
          <w:sz w:val="72"/>
          <w:szCs w:val="72"/>
        </w:rPr>
        <w:t>射洪市</w:t>
      </w:r>
      <w:bookmarkStart w:id="13" w:name="_Toc15306268"/>
      <w:r>
        <w:rPr>
          <w:rFonts w:hint="eastAsia"/>
          <w:b/>
          <w:bCs/>
          <w:sz w:val="72"/>
          <w:szCs w:val="72"/>
          <w:lang w:eastAsia="zh-CN"/>
        </w:rPr>
        <w:t>交通运输局</w:t>
      </w:r>
      <w:bookmarkEnd w:id="7"/>
    </w:p>
    <w:p w14:paraId="64DBEFED">
      <w:pPr>
        <w:bidi w:val="0"/>
        <w:jc w:val="center"/>
        <w:rPr>
          <w:rFonts w:hint="eastAsia" w:ascii="Arial Unicode MS" w:hAnsi="宋体" w:eastAsia="Arial Unicode MS"/>
          <w:color w:val="000000"/>
          <w:sz w:val="72"/>
          <w:szCs w:val="72"/>
        </w:rPr>
        <w:sectPr>
          <w:headerReference r:id="rId3" w:type="default"/>
          <w:footerReference r:id="rId4" w:type="default"/>
          <w:pgSz w:w="11906" w:h="16838"/>
          <w:pgMar w:top="1440" w:right="1800" w:bottom="1440" w:left="1800" w:header="851" w:footer="992" w:gutter="0"/>
          <w:pgNumType w:fmt="decimal" w:start="1"/>
          <w:cols w:space="425" w:num="1"/>
          <w:titlePg/>
          <w:docGrid w:type="lines" w:linePitch="312" w:charSpace="0"/>
        </w:sectPr>
      </w:pPr>
      <w:r>
        <w:rPr>
          <w:rFonts w:hint="eastAsia" w:ascii="Arial Unicode MS" w:hAnsi="宋体" w:eastAsia="Arial Unicode MS"/>
          <w:color w:val="000000"/>
          <w:sz w:val="72"/>
          <w:szCs w:val="72"/>
        </w:rPr>
        <w:t>部门决算</w:t>
      </w:r>
      <w:bookmarkEnd w:id="8"/>
      <w:bookmarkEnd w:id="9"/>
      <w:bookmarkEnd w:id="10"/>
      <w:bookmarkEnd w:id="11"/>
      <w:bookmarkEnd w:id="12"/>
      <w:bookmarkEnd w:id="13"/>
    </w:p>
    <w:p w14:paraId="1D2345CB">
      <w:pPr>
        <w:widowControl/>
        <w:jc w:val="center"/>
        <w:rPr>
          <w:rFonts w:ascii="黑体" w:hAnsi="黑体" w:eastAsia="黑体"/>
          <w:sz w:val="48"/>
          <w:szCs w:val="48"/>
        </w:rPr>
      </w:pPr>
      <w:r>
        <w:rPr>
          <w:rFonts w:hint="eastAsia" w:ascii="黑体" w:hAnsi="黑体" w:eastAsia="黑体"/>
          <w:sz w:val="48"/>
          <w:szCs w:val="48"/>
        </w:rPr>
        <w:t>目录</w:t>
      </w:r>
    </w:p>
    <w:p w14:paraId="6A88C329">
      <w:pPr>
        <w:widowControl/>
        <w:jc w:val="center"/>
        <w:rPr>
          <w:rFonts w:ascii="黑体" w:hAnsi="黑体" w:eastAsia="黑体" w:cstheme="minorBidi"/>
          <w:sz w:val="28"/>
          <w:szCs w:val="28"/>
        </w:rPr>
      </w:pPr>
    </w:p>
    <w:p w14:paraId="56A1E8C6">
      <w:pPr>
        <w:pStyle w:val="12"/>
        <w:rPr>
          <w:b/>
        </w:rPr>
      </w:pPr>
      <w:r>
        <w:rPr>
          <w:rFonts w:hint="eastAsia"/>
        </w:rPr>
        <w:t xml:space="preserve">公开时间：2023年8月 </w:t>
      </w:r>
      <w:r>
        <w:rPr>
          <w:rFonts w:hint="eastAsia"/>
          <w:lang w:val="en-US" w:eastAsia="zh-CN"/>
        </w:rPr>
        <w:t>26</w:t>
      </w:r>
      <w:r>
        <w:rPr>
          <w:rFonts w:hint="eastAsia"/>
        </w:rPr>
        <w:t xml:space="preserve"> 日</w:t>
      </w:r>
      <w:r>
        <w:rPr>
          <w:b/>
        </w:rPr>
        <w:fldChar w:fldCharType="begin"/>
      </w:r>
      <w:r>
        <w:rPr>
          <w:b/>
        </w:rPr>
        <w:instrText xml:space="preserve">TOC \o "1-2" \h \u </w:instrText>
      </w:r>
      <w:r>
        <w:rPr>
          <w:b/>
        </w:rPr>
        <w:fldChar w:fldCharType="separate"/>
      </w:r>
    </w:p>
    <w:sdt>
      <w:sdtPr>
        <w:rPr>
          <w:rFonts w:ascii="宋体" w:hAnsi="宋体" w:eastAsia="宋体" w:cs="Times New Roman"/>
          <w:kern w:val="2"/>
          <w:sz w:val="21"/>
          <w:szCs w:val="24"/>
          <w:lang w:val="en-US" w:eastAsia="zh-CN" w:bidi="ar-SA"/>
        </w:rPr>
        <w:id w:val="147472816"/>
        <w15:color w:val="DBDBDB"/>
        <w:docPartObj>
          <w:docPartGallery w:val="Table of Contents"/>
          <w:docPartUnique/>
        </w:docPartObj>
      </w:sdtPr>
      <w:sdtEndPr>
        <w:rPr>
          <w:rFonts w:asciiTheme="minorHAnsi" w:hAnsiTheme="minorHAnsi" w:eastAsiaTheme="minorEastAsia" w:cstheme="minorBidi"/>
          <w:b/>
          <w:kern w:val="2"/>
          <w:sz w:val="20"/>
          <w:szCs w:val="20"/>
          <w:lang w:val="en-US" w:eastAsia="zh-CN" w:bidi="ar-SA"/>
        </w:rPr>
      </w:sdtEndPr>
      <w:sdtContent>
        <w:p w14:paraId="0EA7BB7D">
          <w:pPr>
            <w:spacing w:before="0" w:beforeLines="0" w:after="0" w:afterLines="0" w:line="240" w:lineRule="auto"/>
            <w:ind w:left="0" w:leftChars="0" w:right="0" w:rightChars="0" w:firstLine="0" w:firstLineChars="0"/>
            <w:jc w:val="center"/>
          </w:pPr>
        </w:p>
        <w:p w14:paraId="7FD521DF">
          <w:pPr>
            <w:pStyle w:val="37"/>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b/>
              <w:sz w:val="24"/>
              <w:szCs w:val="24"/>
            </w:rPr>
          </w:pPr>
          <w:r>
            <w:rPr>
              <w:b/>
            </w:rPr>
            <w:fldChar w:fldCharType="begin"/>
          </w:r>
          <w:r>
            <w:rPr>
              <w:b/>
            </w:rPr>
            <w:instrText xml:space="preserve">TOC \o "1-2" \h \u </w:instrText>
          </w:r>
          <w:r>
            <w:rPr>
              <w:b/>
            </w:rPr>
            <w:fldChar w:fldCharType="separate"/>
          </w:r>
          <w:r>
            <w:rPr>
              <w:b/>
              <w:sz w:val="24"/>
              <w:szCs w:val="24"/>
            </w:rPr>
            <w:fldChar w:fldCharType="begin"/>
          </w:r>
          <w:r>
            <w:rPr>
              <w:b/>
              <w:sz w:val="24"/>
              <w:szCs w:val="24"/>
            </w:rPr>
            <w:instrText xml:space="preserve"> HYPERLINK \l _Toc27975 </w:instrText>
          </w:r>
          <w:r>
            <w:rPr>
              <w:b/>
              <w:sz w:val="24"/>
              <w:szCs w:val="24"/>
            </w:rPr>
            <w:fldChar w:fldCharType="separate"/>
          </w:r>
          <w:r>
            <w:rPr>
              <w:rFonts w:hint="eastAsia" w:ascii="黑体" w:hAnsi="黑体" w:eastAsia="黑体"/>
              <w:b/>
              <w:sz w:val="24"/>
              <w:szCs w:val="24"/>
            </w:rPr>
            <w:t xml:space="preserve">第一部分 </w:t>
          </w:r>
          <w:r>
            <w:rPr>
              <w:rFonts w:hint="eastAsia" w:ascii="黑体" w:hAnsi="黑体" w:eastAsia="黑体"/>
              <w:b/>
              <w:bCs w:val="0"/>
              <w:sz w:val="24"/>
              <w:szCs w:val="24"/>
            </w:rPr>
            <w:t>部门概况</w:t>
          </w:r>
          <w:r>
            <w:rPr>
              <w:b/>
              <w:sz w:val="24"/>
              <w:szCs w:val="24"/>
            </w:rPr>
            <w:tab/>
          </w:r>
          <w:r>
            <w:rPr>
              <w:b/>
              <w:sz w:val="24"/>
              <w:szCs w:val="24"/>
            </w:rPr>
            <w:fldChar w:fldCharType="begin"/>
          </w:r>
          <w:r>
            <w:rPr>
              <w:b/>
              <w:sz w:val="24"/>
              <w:szCs w:val="24"/>
            </w:rPr>
            <w:instrText xml:space="preserve"> PAGEREF _Toc27975 \h </w:instrText>
          </w:r>
          <w:r>
            <w:rPr>
              <w:b/>
              <w:sz w:val="24"/>
              <w:szCs w:val="24"/>
            </w:rPr>
            <w:fldChar w:fldCharType="separate"/>
          </w:r>
          <w:r>
            <w:rPr>
              <w:b/>
              <w:sz w:val="24"/>
              <w:szCs w:val="24"/>
            </w:rPr>
            <w:t>1</w:t>
          </w:r>
          <w:r>
            <w:rPr>
              <w:b/>
              <w:sz w:val="24"/>
              <w:szCs w:val="24"/>
            </w:rPr>
            <w:fldChar w:fldCharType="end"/>
          </w:r>
          <w:r>
            <w:rPr>
              <w:b/>
              <w:sz w:val="24"/>
              <w:szCs w:val="24"/>
            </w:rPr>
            <w:fldChar w:fldCharType="end"/>
          </w:r>
        </w:p>
        <w:p w14:paraId="6959BE3D">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_Toc23556 </w:instrText>
          </w:r>
          <w:r>
            <w:rPr>
              <w:sz w:val="24"/>
              <w:szCs w:val="24"/>
            </w:rPr>
            <w:fldChar w:fldCharType="separate"/>
          </w:r>
          <w:r>
            <w:rPr>
              <w:rFonts w:hint="eastAsia" w:ascii="仿宋" w:hAnsi="仿宋" w:eastAsia="仿宋" w:cs="Times New Roman"/>
              <w:bCs/>
              <w:kern w:val="0"/>
              <w:sz w:val="24"/>
              <w:szCs w:val="24"/>
              <w:lang w:val="en-US" w:eastAsia="zh-CN" w:bidi="ar-SA"/>
            </w:rPr>
            <w:t xml:space="preserve">一、 </w:t>
          </w:r>
          <w:r>
            <w:rPr>
              <w:rFonts w:hint="eastAsia" w:ascii="黑体" w:hAnsi="黑体" w:eastAsia="黑体"/>
              <w:sz w:val="24"/>
              <w:szCs w:val="24"/>
              <w:lang w:val="en-US" w:eastAsia="zh-CN"/>
            </w:rPr>
            <w:t>部门职责</w:t>
          </w:r>
          <w:r>
            <w:rPr>
              <w:sz w:val="24"/>
              <w:szCs w:val="24"/>
            </w:rPr>
            <w:tab/>
          </w:r>
          <w:r>
            <w:rPr>
              <w:sz w:val="24"/>
              <w:szCs w:val="24"/>
            </w:rPr>
            <w:fldChar w:fldCharType="begin"/>
          </w:r>
          <w:r>
            <w:rPr>
              <w:sz w:val="24"/>
              <w:szCs w:val="24"/>
            </w:rPr>
            <w:instrText xml:space="preserve"> PAGEREF _Toc23556 \h </w:instrText>
          </w:r>
          <w:r>
            <w:rPr>
              <w:sz w:val="24"/>
              <w:szCs w:val="24"/>
            </w:rPr>
            <w:fldChar w:fldCharType="separate"/>
          </w:r>
          <w:r>
            <w:rPr>
              <w:sz w:val="24"/>
              <w:szCs w:val="24"/>
            </w:rPr>
            <w:t>1</w:t>
          </w:r>
          <w:r>
            <w:rPr>
              <w:sz w:val="24"/>
              <w:szCs w:val="24"/>
            </w:rPr>
            <w:fldChar w:fldCharType="end"/>
          </w:r>
          <w:r>
            <w:rPr>
              <w:sz w:val="24"/>
              <w:szCs w:val="24"/>
            </w:rPr>
            <w:fldChar w:fldCharType="end"/>
          </w:r>
        </w:p>
        <w:p w14:paraId="2C818EFA">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_Toc22500 </w:instrText>
          </w:r>
          <w:r>
            <w:rPr>
              <w:sz w:val="24"/>
              <w:szCs w:val="24"/>
            </w:rPr>
            <w:fldChar w:fldCharType="separate"/>
          </w:r>
          <w:r>
            <w:rPr>
              <w:rFonts w:hint="eastAsia" w:ascii="黑体" w:hAnsi="黑体" w:eastAsia="黑体"/>
              <w:sz w:val="24"/>
              <w:szCs w:val="24"/>
              <w:lang w:val="en-US" w:eastAsia="zh-CN"/>
            </w:rPr>
            <w:t>二、 机构设置</w:t>
          </w:r>
          <w:r>
            <w:rPr>
              <w:sz w:val="24"/>
              <w:szCs w:val="24"/>
            </w:rPr>
            <w:tab/>
          </w:r>
          <w:r>
            <w:rPr>
              <w:sz w:val="24"/>
              <w:szCs w:val="24"/>
            </w:rPr>
            <w:fldChar w:fldCharType="begin"/>
          </w:r>
          <w:r>
            <w:rPr>
              <w:sz w:val="24"/>
              <w:szCs w:val="24"/>
            </w:rPr>
            <w:instrText xml:space="preserve"> PAGEREF _Toc22500 \h </w:instrText>
          </w:r>
          <w:r>
            <w:rPr>
              <w:sz w:val="24"/>
              <w:szCs w:val="24"/>
            </w:rPr>
            <w:fldChar w:fldCharType="separate"/>
          </w:r>
          <w:r>
            <w:rPr>
              <w:sz w:val="24"/>
              <w:szCs w:val="24"/>
            </w:rPr>
            <w:t>3</w:t>
          </w:r>
          <w:r>
            <w:rPr>
              <w:sz w:val="24"/>
              <w:szCs w:val="24"/>
            </w:rPr>
            <w:fldChar w:fldCharType="end"/>
          </w:r>
          <w:r>
            <w:rPr>
              <w:sz w:val="24"/>
              <w:szCs w:val="24"/>
            </w:rPr>
            <w:fldChar w:fldCharType="end"/>
          </w:r>
        </w:p>
        <w:p w14:paraId="7FAAEA28">
          <w:pPr>
            <w:pStyle w:val="37"/>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b/>
              <w:sz w:val="24"/>
              <w:szCs w:val="24"/>
            </w:rPr>
          </w:pPr>
          <w:r>
            <w:rPr>
              <w:b/>
              <w:sz w:val="24"/>
              <w:szCs w:val="24"/>
            </w:rPr>
            <w:fldChar w:fldCharType="begin"/>
          </w:r>
          <w:r>
            <w:rPr>
              <w:b/>
              <w:sz w:val="24"/>
              <w:szCs w:val="24"/>
            </w:rPr>
            <w:instrText xml:space="preserve"> HYPERLINK \l _Toc21613 </w:instrText>
          </w:r>
          <w:r>
            <w:rPr>
              <w:b/>
              <w:sz w:val="24"/>
              <w:szCs w:val="24"/>
            </w:rPr>
            <w:fldChar w:fldCharType="separate"/>
          </w:r>
          <w:r>
            <w:rPr>
              <w:rFonts w:hint="eastAsia" w:ascii="黑体" w:hAnsi="黑体" w:eastAsia="黑体"/>
              <w:b/>
              <w:sz w:val="24"/>
              <w:szCs w:val="24"/>
            </w:rPr>
            <w:t>第二部分 2023年度</w:t>
          </w:r>
          <w:r>
            <w:rPr>
              <w:rFonts w:hint="eastAsia" w:ascii="黑体" w:hAnsi="黑体" w:eastAsia="黑体"/>
              <w:b/>
              <w:bCs/>
              <w:sz w:val="24"/>
              <w:szCs w:val="24"/>
            </w:rPr>
            <w:t>部门决算情况说明</w:t>
          </w:r>
          <w:r>
            <w:rPr>
              <w:b/>
              <w:sz w:val="24"/>
              <w:szCs w:val="24"/>
            </w:rPr>
            <w:tab/>
          </w:r>
          <w:r>
            <w:rPr>
              <w:b/>
              <w:sz w:val="24"/>
              <w:szCs w:val="24"/>
            </w:rPr>
            <w:fldChar w:fldCharType="begin"/>
          </w:r>
          <w:r>
            <w:rPr>
              <w:b/>
              <w:sz w:val="24"/>
              <w:szCs w:val="24"/>
            </w:rPr>
            <w:instrText xml:space="preserve"> PAGEREF _Toc21613 \h </w:instrText>
          </w:r>
          <w:r>
            <w:rPr>
              <w:b/>
              <w:sz w:val="24"/>
              <w:szCs w:val="24"/>
            </w:rPr>
            <w:fldChar w:fldCharType="separate"/>
          </w:r>
          <w:r>
            <w:rPr>
              <w:b/>
              <w:sz w:val="24"/>
              <w:szCs w:val="24"/>
            </w:rPr>
            <w:t>4</w:t>
          </w:r>
          <w:r>
            <w:rPr>
              <w:b/>
              <w:sz w:val="24"/>
              <w:szCs w:val="24"/>
            </w:rPr>
            <w:fldChar w:fldCharType="end"/>
          </w:r>
          <w:r>
            <w:rPr>
              <w:b/>
              <w:sz w:val="24"/>
              <w:szCs w:val="24"/>
            </w:rPr>
            <w:fldChar w:fldCharType="end"/>
          </w:r>
        </w:p>
        <w:p w14:paraId="57303F17">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_Toc29956 </w:instrText>
          </w:r>
          <w:r>
            <w:rPr>
              <w:sz w:val="24"/>
              <w:szCs w:val="24"/>
            </w:rPr>
            <w:fldChar w:fldCharType="separate"/>
          </w:r>
          <w:r>
            <w:rPr>
              <w:rFonts w:hint="default" w:ascii="黑体" w:hAnsi="黑体" w:eastAsia="黑体"/>
              <w:sz w:val="24"/>
              <w:szCs w:val="24"/>
            </w:rPr>
            <w:t xml:space="preserve">一、 </w:t>
          </w:r>
          <w:r>
            <w:rPr>
              <w:rFonts w:hint="eastAsia" w:ascii="黑体" w:hAnsi="黑体" w:eastAsia="黑体"/>
              <w:sz w:val="24"/>
              <w:szCs w:val="24"/>
            </w:rPr>
            <w:t>收入支出决算总体情况说明</w:t>
          </w:r>
          <w:r>
            <w:rPr>
              <w:sz w:val="24"/>
              <w:szCs w:val="24"/>
            </w:rPr>
            <w:tab/>
          </w:r>
          <w:r>
            <w:rPr>
              <w:sz w:val="24"/>
              <w:szCs w:val="24"/>
            </w:rPr>
            <w:fldChar w:fldCharType="begin"/>
          </w:r>
          <w:r>
            <w:rPr>
              <w:sz w:val="24"/>
              <w:szCs w:val="24"/>
            </w:rPr>
            <w:instrText xml:space="preserve"> PAGEREF _Toc29956 \h </w:instrText>
          </w:r>
          <w:r>
            <w:rPr>
              <w:sz w:val="24"/>
              <w:szCs w:val="24"/>
            </w:rPr>
            <w:fldChar w:fldCharType="separate"/>
          </w:r>
          <w:r>
            <w:rPr>
              <w:sz w:val="24"/>
              <w:szCs w:val="24"/>
            </w:rPr>
            <w:t>4</w:t>
          </w:r>
          <w:r>
            <w:rPr>
              <w:sz w:val="24"/>
              <w:szCs w:val="24"/>
            </w:rPr>
            <w:fldChar w:fldCharType="end"/>
          </w:r>
          <w:r>
            <w:rPr>
              <w:sz w:val="24"/>
              <w:szCs w:val="24"/>
            </w:rPr>
            <w:fldChar w:fldCharType="end"/>
          </w:r>
        </w:p>
        <w:p w14:paraId="36F002B9">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_Toc23704 </w:instrText>
          </w:r>
          <w:r>
            <w:rPr>
              <w:sz w:val="24"/>
              <w:szCs w:val="24"/>
            </w:rPr>
            <w:fldChar w:fldCharType="separate"/>
          </w:r>
          <w:r>
            <w:rPr>
              <w:rFonts w:hint="default" w:ascii="黑体" w:hAnsi="黑体" w:eastAsia="黑体"/>
              <w:sz w:val="24"/>
              <w:szCs w:val="24"/>
            </w:rPr>
            <w:t xml:space="preserve">二、 </w:t>
          </w:r>
          <w:r>
            <w:rPr>
              <w:rFonts w:hint="eastAsia" w:ascii="黑体" w:hAnsi="黑体" w:eastAsia="黑体"/>
              <w:sz w:val="24"/>
              <w:szCs w:val="24"/>
            </w:rPr>
            <w:t>收入决算情况说明</w:t>
          </w:r>
          <w:r>
            <w:rPr>
              <w:sz w:val="24"/>
              <w:szCs w:val="24"/>
            </w:rPr>
            <w:tab/>
          </w:r>
          <w:r>
            <w:rPr>
              <w:sz w:val="24"/>
              <w:szCs w:val="24"/>
            </w:rPr>
            <w:fldChar w:fldCharType="begin"/>
          </w:r>
          <w:r>
            <w:rPr>
              <w:sz w:val="24"/>
              <w:szCs w:val="24"/>
            </w:rPr>
            <w:instrText xml:space="preserve"> PAGEREF _Toc23704 \h </w:instrText>
          </w:r>
          <w:r>
            <w:rPr>
              <w:sz w:val="24"/>
              <w:szCs w:val="24"/>
            </w:rPr>
            <w:fldChar w:fldCharType="separate"/>
          </w:r>
          <w:r>
            <w:rPr>
              <w:sz w:val="24"/>
              <w:szCs w:val="24"/>
            </w:rPr>
            <w:t>4</w:t>
          </w:r>
          <w:r>
            <w:rPr>
              <w:sz w:val="24"/>
              <w:szCs w:val="24"/>
            </w:rPr>
            <w:fldChar w:fldCharType="end"/>
          </w:r>
          <w:r>
            <w:rPr>
              <w:sz w:val="24"/>
              <w:szCs w:val="24"/>
            </w:rPr>
            <w:fldChar w:fldCharType="end"/>
          </w:r>
        </w:p>
        <w:p w14:paraId="2E297EBC">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_Toc26112 </w:instrText>
          </w:r>
          <w:r>
            <w:rPr>
              <w:sz w:val="24"/>
              <w:szCs w:val="24"/>
            </w:rPr>
            <w:fldChar w:fldCharType="separate"/>
          </w:r>
          <w:r>
            <w:rPr>
              <w:rFonts w:hint="default" w:ascii="黑体" w:hAnsi="黑体" w:eastAsia="黑体"/>
              <w:sz w:val="24"/>
              <w:szCs w:val="24"/>
            </w:rPr>
            <w:t xml:space="preserve">三、 </w:t>
          </w:r>
          <w:r>
            <w:rPr>
              <w:rFonts w:hint="eastAsia" w:ascii="黑体" w:hAnsi="黑体" w:eastAsia="黑体"/>
              <w:sz w:val="24"/>
              <w:szCs w:val="24"/>
            </w:rPr>
            <w:t>支出决算情况说明</w:t>
          </w:r>
          <w:r>
            <w:rPr>
              <w:sz w:val="24"/>
              <w:szCs w:val="24"/>
            </w:rPr>
            <w:tab/>
          </w:r>
          <w:r>
            <w:rPr>
              <w:sz w:val="24"/>
              <w:szCs w:val="24"/>
            </w:rPr>
            <w:fldChar w:fldCharType="begin"/>
          </w:r>
          <w:r>
            <w:rPr>
              <w:sz w:val="24"/>
              <w:szCs w:val="24"/>
            </w:rPr>
            <w:instrText xml:space="preserve"> PAGEREF _Toc26112 \h </w:instrText>
          </w:r>
          <w:r>
            <w:rPr>
              <w:sz w:val="24"/>
              <w:szCs w:val="24"/>
            </w:rPr>
            <w:fldChar w:fldCharType="separate"/>
          </w:r>
          <w:r>
            <w:rPr>
              <w:sz w:val="24"/>
              <w:szCs w:val="24"/>
            </w:rPr>
            <w:t>5</w:t>
          </w:r>
          <w:r>
            <w:rPr>
              <w:sz w:val="24"/>
              <w:szCs w:val="24"/>
            </w:rPr>
            <w:fldChar w:fldCharType="end"/>
          </w:r>
          <w:r>
            <w:rPr>
              <w:sz w:val="24"/>
              <w:szCs w:val="24"/>
            </w:rPr>
            <w:fldChar w:fldCharType="end"/>
          </w:r>
        </w:p>
        <w:p w14:paraId="46B13ECA">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_Toc29901 </w:instrText>
          </w:r>
          <w:r>
            <w:rPr>
              <w:sz w:val="24"/>
              <w:szCs w:val="24"/>
            </w:rPr>
            <w:fldChar w:fldCharType="separate"/>
          </w:r>
          <w:r>
            <w:rPr>
              <w:rFonts w:hint="eastAsia" w:ascii="黑体" w:hAnsi="黑体" w:eastAsia="黑体"/>
              <w:sz w:val="24"/>
              <w:szCs w:val="24"/>
            </w:rPr>
            <w:t>四、财政拨款收入支出决算总体情况说明</w:t>
          </w:r>
          <w:r>
            <w:rPr>
              <w:sz w:val="24"/>
              <w:szCs w:val="24"/>
            </w:rPr>
            <w:tab/>
          </w:r>
          <w:r>
            <w:rPr>
              <w:sz w:val="24"/>
              <w:szCs w:val="24"/>
            </w:rPr>
            <w:fldChar w:fldCharType="begin"/>
          </w:r>
          <w:r>
            <w:rPr>
              <w:sz w:val="24"/>
              <w:szCs w:val="24"/>
            </w:rPr>
            <w:instrText xml:space="preserve"> PAGEREF _Toc29901 \h </w:instrText>
          </w:r>
          <w:r>
            <w:rPr>
              <w:sz w:val="24"/>
              <w:szCs w:val="24"/>
            </w:rPr>
            <w:fldChar w:fldCharType="separate"/>
          </w:r>
          <w:r>
            <w:rPr>
              <w:sz w:val="24"/>
              <w:szCs w:val="24"/>
            </w:rPr>
            <w:t>6</w:t>
          </w:r>
          <w:r>
            <w:rPr>
              <w:sz w:val="24"/>
              <w:szCs w:val="24"/>
            </w:rPr>
            <w:fldChar w:fldCharType="end"/>
          </w:r>
          <w:r>
            <w:rPr>
              <w:sz w:val="24"/>
              <w:szCs w:val="24"/>
            </w:rPr>
            <w:fldChar w:fldCharType="end"/>
          </w:r>
        </w:p>
        <w:p w14:paraId="7A80CDA3">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_Toc17676 </w:instrText>
          </w:r>
          <w:r>
            <w:rPr>
              <w:sz w:val="24"/>
              <w:szCs w:val="24"/>
            </w:rPr>
            <w:fldChar w:fldCharType="separate"/>
          </w:r>
          <w:r>
            <w:rPr>
              <w:rFonts w:hint="eastAsia" w:ascii="黑体" w:hAnsi="黑体" w:eastAsia="黑体"/>
              <w:sz w:val="24"/>
              <w:szCs w:val="24"/>
            </w:rPr>
            <w:t>五、一般公共预算财政拨款支出决算情况说明</w:t>
          </w:r>
          <w:r>
            <w:rPr>
              <w:sz w:val="24"/>
              <w:szCs w:val="24"/>
            </w:rPr>
            <w:tab/>
          </w:r>
          <w:r>
            <w:rPr>
              <w:sz w:val="24"/>
              <w:szCs w:val="24"/>
            </w:rPr>
            <w:fldChar w:fldCharType="begin"/>
          </w:r>
          <w:r>
            <w:rPr>
              <w:sz w:val="24"/>
              <w:szCs w:val="24"/>
            </w:rPr>
            <w:instrText xml:space="preserve"> PAGEREF _Toc17676 \h </w:instrText>
          </w:r>
          <w:r>
            <w:rPr>
              <w:sz w:val="24"/>
              <w:szCs w:val="24"/>
            </w:rPr>
            <w:fldChar w:fldCharType="separate"/>
          </w:r>
          <w:r>
            <w:rPr>
              <w:sz w:val="24"/>
              <w:szCs w:val="24"/>
            </w:rPr>
            <w:t>6</w:t>
          </w:r>
          <w:r>
            <w:rPr>
              <w:sz w:val="24"/>
              <w:szCs w:val="24"/>
            </w:rPr>
            <w:fldChar w:fldCharType="end"/>
          </w:r>
          <w:r>
            <w:rPr>
              <w:sz w:val="24"/>
              <w:szCs w:val="24"/>
            </w:rPr>
            <w:fldChar w:fldCharType="end"/>
          </w:r>
        </w:p>
        <w:p w14:paraId="2EC087EF">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_Toc9551 </w:instrText>
          </w:r>
          <w:r>
            <w:rPr>
              <w:sz w:val="24"/>
              <w:szCs w:val="24"/>
            </w:rPr>
            <w:fldChar w:fldCharType="separate"/>
          </w:r>
          <w:r>
            <w:rPr>
              <w:rFonts w:hint="eastAsia" w:ascii="黑体" w:eastAsia="黑体"/>
              <w:sz w:val="24"/>
              <w:szCs w:val="24"/>
            </w:rPr>
            <w:t>六、</w:t>
          </w:r>
          <w:r>
            <w:rPr>
              <w:rFonts w:hint="eastAsia" w:ascii="黑体" w:hAnsi="黑体" w:eastAsia="黑体"/>
              <w:sz w:val="24"/>
              <w:szCs w:val="24"/>
            </w:rPr>
            <w:t>一般公共预算财政拨款基本支出决算情况说明</w:t>
          </w:r>
          <w:r>
            <w:rPr>
              <w:sz w:val="24"/>
              <w:szCs w:val="24"/>
            </w:rPr>
            <w:tab/>
          </w:r>
          <w:r>
            <w:rPr>
              <w:sz w:val="24"/>
              <w:szCs w:val="24"/>
            </w:rPr>
            <w:fldChar w:fldCharType="begin"/>
          </w:r>
          <w:r>
            <w:rPr>
              <w:sz w:val="24"/>
              <w:szCs w:val="24"/>
            </w:rPr>
            <w:instrText xml:space="preserve"> PAGEREF _Toc9551 \h </w:instrText>
          </w:r>
          <w:r>
            <w:rPr>
              <w:sz w:val="24"/>
              <w:szCs w:val="24"/>
            </w:rPr>
            <w:fldChar w:fldCharType="separate"/>
          </w:r>
          <w:r>
            <w:rPr>
              <w:sz w:val="24"/>
              <w:szCs w:val="24"/>
            </w:rPr>
            <w:t>11</w:t>
          </w:r>
          <w:r>
            <w:rPr>
              <w:sz w:val="24"/>
              <w:szCs w:val="24"/>
            </w:rPr>
            <w:fldChar w:fldCharType="end"/>
          </w:r>
          <w:r>
            <w:rPr>
              <w:sz w:val="24"/>
              <w:szCs w:val="24"/>
            </w:rPr>
            <w:fldChar w:fldCharType="end"/>
          </w:r>
        </w:p>
        <w:p w14:paraId="043F98C4">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_Toc31923 </w:instrText>
          </w:r>
          <w:r>
            <w:rPr>
              <w:sz w:val="24"/>
              <w:szCs w:val="24"/>
            </w:rPr>
            <w:fldChar w:fldCharType="separate"/>
          </w:r>
          <w:r>
            <w:rPr>
              <w:rFonts w:hint="eastAsia" w:ascii="黑体" w:eastAsia="黑体"/>
              <w:sz w:val="24"/>
              <w:szCs w:val="24"/>
            </w:rPr>
            <w:t>七、</w:t>
          </w:r>
          <w:r>
            <w:rPr>
              <w:rFonts w:hint="eastAsia" w:ascii="黑体" w:hAnsi="黑体" w:eastAsia="黑体"/>
              <w:sz w:val="24"/>
              <w:szCs w:val="24"/>
            </w:rPr>
            <w:t>财政拨款“三公”经费支出决算情况说明</w:t>
          </w:r>
          <w:r>
            <w:rPr>
              <w:sz w:val="24"/>
              <w:szCs w:val="24"/>
            </w:rPr>
            <w:tab/>
          </w:r>
          <w:r>
            <w:rPr>
              <w:sz w:val="24"/>
              <w:szCs w:val="24"/>
            </w:rPr>
            <w:fldChar w:fldCharType="begin"/>
          </w:r>
          <w:r>
            <w:rPr>
              <w:sz w:val="24"/>
              <w:szCs w:val="24"/>
            </w:rPr>
            <w:instrText xml:space="preserve"> PAGEREF _Toc31923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615890D">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_Toc3185 </w:instrText>
          </w:r>
          <w:r>
            <w:rPr>
              <w:sz w:val="24"/>
              <w:szCs w:val="24"/>
            </w:rPr>
            <w:fldChar w:fldCharType="separate"/>
          </w:r>
          <w:r>
            <w:rPr>
              <w:rFonts w:hint="eastAsia" w:ascii="黑体" w:eastAsia="黑体"/>
              <w:sz w:val="24"/>
              <w:szCs w:val="24"/>
            </w:rPr>
            <w:t>八、</w:t>
          </w:r>
          <w:r>
            <w:rPr>
              <w:rFonts w:hint="eastAsia" w:ascii="黑体" w:hAnsi="黑体" w:eastAsia="黑体"/>
              <w:sz w:val="24"/>
              <w:szCs w:val="24"/>
            </w:rPr>
            <w:t>政府性基金预算支出决算情况说明</w:t>
          </w:r>
          <w:r>
            <w:rPr>
              <w:sz w:val="24"/>
              <w:szCs w:val="24"/>
            </w:rPr>
            <w:tab/>
          </w:r>
          <w:r>
            <w:rPr>
              <w:sz w:val="24"/>
              <w:szCs w:val="24"/>
            </w:rPr>
            <w:fldChar w:fldCharType="begin"/>
          </w:r>
          <w:r>
            <w:rPr>
              <w:sz w:val="24"/>
              <w:szCs w:val="24"/>
            </w:rPr>
            <w:instrText xml:space="preserve"> PAGEREF _Toc3185 \h </w:instrText>
          </w:r>
          <w:r>
            <w:rPr>
              <w:sz w:val="24"/>
              <w:szCs w:val="24"/>
            </w:rPr>
            <w:fldChar w:fldCharType="separate"/>
          </w:r>
          <w:r>
            <w:rPr>
              <w:sz w:val="24"/>
              <w:szCs w:val="24"/>
            </w:rPr>
            <w:t>14</w:t>
          </w:r>
          <w:r>
            <w:rPr>
              <w:sz w:val="24"/>
              <w:szCs w:val="24"/>
            </w:rPr>
            <w:fldChar w:fldCharType="end"/>
          </w:r>
          <w:r>
            <w:rPr>
              <w:sz w:val="24"/>
              <w:szCs w:val="24"/>
            </w:rPr>
            <w:fldChar w:fldCharType="end"/>
          </w:r>
        </w:p>
        <w:p w14:paraId="3388BB88">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_Toc24618 </w:instrText>
          </w:r>
          <w:r>
            <w:rPr>
              <w:sz w:val="24"/>
              <w:szCs w:val="24"/>
            </w:rPr>
            <w:fldChar w:fldCharType="separate"/>
          </w:r>
          <w:r>
            <w:rPr>
              <w:rFonts w:hint="eastAsia" w:ascii="黑体" w:hAnsi="黑体" w:eastAsia="黑体"/>
              <w:sz w:val="24"/>
              <w:szCs w:val="24"/>
            </w:rPr>
            <w:t>九、 国有资本经营预算支出决算情况说明</w:t>
          </w:r>
          <w:r>
            <w:rPr>
              <w:sz w:val="24"/>
              <w:szCs w:val="24"/>
            </w:rPr>
            <w:tab/>
          </w:r>
          <w:r>
            <w:rPr>
              <w:sz w:val="24"/>
              <w:szCs w:val="24"/>
            </w:rPr>
            <w:fldChar w:fldCharType="begin"/>
          </w:r>
          <w:r>
            <w:rPr>
              <w:sz w:val="24"/>
              <w:szCs w:val="24"/>
            </w:rPr>
            <w:instrText xml:space="preserve"> PAGEREF _Toc24618 \h </w:instrText>
          </w:r>
          <w:r>
            <w:rPr>
              <w:sz w:val="24"/>
              <w:szCs w:val="24"/>
            </w:rPr>
            <w:fldChar w:fldCharType="separate"/>
          </w:r>
          <w:r>
            <w:rPr>
              <w:sz w:val="24"/>
              <w:szCs w:val="24"/>
            </w:rPr>
            <w:t>14</w:t>
          </w:r>
          <w:r>
            <w:rPr>
              <w:sz w:val="24"/>
              <w:szCs w:val="24"/>
            </w:rPr>
            <w:fldChar w:fldCharType="end"/>
          </w:r>
          <w:r>
            <w:rPr>
              <w:sz w:val="24"/>
              <w:szCs w:val="24"/>
            </w:rPr>
            <w:fldChar w:fldCharType="end"/>
          </w:r>
        </w:p>
        <w:p w14:paraId="4C5E3B1D">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_Toc19988 </w:instrText>
          </w:r>
          <w:r>
            <w:rPr>
              <w:sz w:val="24"/>
              <w:szCs w:val="24"/>
            </w:rPr>
            <w:fldChar w:fldCharType="separate"/>
          </w:r>
          <w:r>
            <w:rPr>
              <w:rFonts w:hint="eastAsia" w:ascii="黑体" w:hAnsi="黑体" w:eastAsia="黑体"/>
              <w:sz w:val="24"/>
              <w:szCs w:val="24"/>
            </w:rPr>
            <w:t>十、 其他重要事项的情况说明</w:t>
          </w:r>
          <w:r>
            <w:rPr>
              <w:sz w:val="24"/>
              <w:szCs w:val="24"/>
            </w:rPr>
            <w:tab/>
          </w:r>
          <w:r>
            <w:rPr>
              <w:sz w:val="24"/>
              <w:szCs w:val="24"/>
            </w:rPr>
            <w:fldChar w:fldCharType="begin"/>
          </w:r>
          <w:r>
            <w:rPr>
              <w:sz w:val="24"/>
              <w:szCs w:val="24"/>
            </w:rPr>
            <w:instrText xml:space="preserve"> PAGEREF _Toc19988 \h </w:instrText>
          </w:r>
          <w:r>
            <w:rPr>
              <w:sz w:val="24"/>
              <w:szCs w:val="24"/>
            </w:rPr>
            <w:fldChar w:fldCharType="separate"/>
          </w:r>
          <w:r>
            <w:rPr>
              <w:sz w:val="24"/>
              <w:szCs w:val="24"/>
            </w:rPr>
            <w:t>14</w:t>
          </w:r>
          <w:r>
            <w:rPr>
              <w:sz w:val="24"/>
              <w:szCs w:val="24"/>
            </w:rPr>
            <w:fldChar w:fldCharType="end"/>
          </w:r>
          <w:r>
            <w:rPr>
              <w:sz w:val="24"/>
              <w:szCs w:val="24"/>
            </w:rPr>
            <w:fldChar w:fldCharType="end"/>
          </w:r>
        </w:p>
        <w:p w14:paraId="335E163E">
          <w:pPr>
            <w:pStyle w:val="37"/>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b/>
              <w:sz w:val="24"/>
              <w:szCs w:val="24"/>
            </w:rPr>
          </w:pPr>
          <w:r>
            <w:rPr>
              <w:b/>
              <w:sz w:val="24"/>
              <w:szCs w:val="24"/>
            </w:rPr>
            <w:fldChar w:fldCharType="begin"/>
          </w:r>
          <w:r>
            <w:rPr>
              <w:b/>
              <w:sz w:val="24"/>
              <w:szCs w:val="24"/>
            </w:rPr>
            <w:instrText xml:space="preserve"> HYPERLINK \l _Toc13126 </w:instrText>
          </w:r>
          <w:r>
            <w:rPr>
              <w:b/>
              <w:sz w:val="24"/>
              <w:szCs w:val="24"/>
            </w:rPr>
            <w:fldChar w:fldCharType="separate"/>
          </w:r>
          <w:r>
            <w:rPr>
              <w:rFonts w:hint="eastAsia" w:ascii="黑体" w:hAnsi="黑体" w:eastAsia="黑体" w:cs="Times New Roman"/>
              <w:b/>
              <w:sz w:val="24"/>
              <w:szCs w:val="24"/>
            </w:rPr>
            <w:t>第三部分 名词解释</w:t>
          </w:r>
          <w:r>
            <w:rPr>
              <w:b/>
              <w:sz w:val="24"/>
              <w:szCs w:val="24"/>
            </w:rPr>
            <w:tab/>
          </w:r>
          <w:r>
            <w:rPr>
              <w:b/>
              <w:sz w:val="24"/>
              <w:szCs w:val="24"/>
            </w:rPr>
            <w:fldChar w:fldCharType="begin"/>
          </w:r>
          <w:r>
            <w:rPr>
              <w:b/>
              <w:sz w:val="24"/>
              <w:szCs w:val="24"/>
            </w:rPr>
            <w:instrText xml:space="preserve"> PAGEREF _Toc13126 \h </w:instrText>
          </w:r>
          <w:r>
            <w:rPr>
              <w:b/>
              <w:sz w:val="24"/>
              <w:szCs w:val="24"/>
            </w:rPr>
            <w:fldChar w:fldCharType="separate"/>
          </w:r>
          <w:r>
            <w:rPr>
              <w:b/>
              <w:sz w:val="24"/>
              <w:szCs w:val="24"/>
            </w:rPr>
            <w:t>17</w:t>
          </w:r>
          <w:r>
            <w:rPr>
              <w:b/>
              <w:sz w:val="24"/>
              <w:szCs w:val="24"/>
            </w:rPr>
            <w:fldChar w:fldCharType="end"/>
          </w:r>
          <w:r>
            <w:rPr>
              <w:b/>
              <w:sz w:val="24"/>
              <w:szCs w:val="24"/>
            </w:rPr>
            <w:fldChar w:fldCharType="end"/>
          </w:r>
        </w:p>
        <w:p w14:paraId="3ECDB9BC">
          <w:pPr>
            <w:pStyle w:val="37"/>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b/>
              <w:sz w:val="24"/>
              <w:szCs w:val="24"/>
            </w:rPr>
          </w:pPr>
          <w:r>
            <w:rPr>
              <w:b/>
              <w:sz w:val="24"/>
              <w:szCs w:val="24"/>
            </w:rPr>
            <w:fldChar w:fldCharType="begin"/>
          </w:r>
          <w:r>
            <w:rPr>
              <w:b/>
              <w:sz w:val="24"/>
              <w:szCs w:val="24"/>
            </w:rPr>
            <w:instrText xml:space="preserve"> HYPERLINK \l _Toc1820 </w:instrText>
          </w:r>
          <w:r>
            <w:rPr>
              <w:b/>
              <w:sz w:val="24"/>
              <w:szCs w:val="24"/>
            </w:rPr>
            <w:fldChar w:fldCharType="separate"/>
          </w:r>
          <w:r>
            <w:rPr>
              <w:rFonts w:hint="eastAsia" w:ascii="黑体" w:hAnsi="黑体" w:eastAsia="黑体"/>
              <w:b/>
              <w:sz w:val="24"/>
              <w:szCs w:val="24"/>
            </w:rPr>
            <w:t>第四部分 附件</w:t>
          </w:r>
          <w:r>
            <w:rPr>
              <w:b/>
              <w:sz w:val="24"/>
              <w:szCs w:val="24"/>
            </w:rPr>
            <w:tab/>
          </w:r>
          <w:r>
            <w:rPr>
              <w:b/>
              <w:sz w:val="24"/>
              <w:szCs w:val="24"/>
            </w:rPr>
            <w:fldChar w:fldCharType="begin"/>
          </w:r>
          <w:r>
            <w:rPr>
              <w:b/>
              <w:sz w:val="24"/>
              <w:szCs w:val="24"/>
            </w:rPr>
            <w:instrText xml:space="preserve"> PAGEREF _Toc1820 \h </w:instrText>
          </w:r>
          <w:r>
            <w:rPr>
              <w:b/>
              <w:sz w:val="24"/>
              <w:szCs w:val="24"/>
            </w:rPr>
            <w:fldChar w:fldCharType="separate"/>
          </w:r>
          <w:r>
            <w:rPr>
              <w:b/>
              <w:sz w:val="24"/>
              <w:szCs w:val="24"/>
            </w:rPr>
            <w:t>22</w:t>
          </w:r>
          <w:r>
            <w:rPr>
              <w:b/>
              <w:sz w:val="24"/>
              <w:szCs w:val="24"/>
            </w:rPr>
            <w:fldChar w:fldCharType="end"/>
          </w:r>
          <w:r>
            <w:rPr>
              <w:b/>
              <w:sz w:val="24"/>
              <w:szCs w:val="24"/>
            </w:rPr>
            <w:fldChar w:fldCharType="end"/>
          </w:r>
        </w:p>
        <w:p w14:paraId="41448782">
          <w:pPr>
            <w:pStyle w:val="37"/>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b/>
              <w:sz w:val="24"/>
              <w:szCs w:val="24"/>
            </w:rPr>
          </w:pPr>
          <w:r>
            <w:rPr>
              <w:b/>
              <w:sz w:val="24"/>
              <w:szCs w:val="24"/>
            </w:rPr>
            <w:fldChar w:fldCharType="begin"/>
          </w:r>
          <w:r>
            <w:rPr>
              <w:b/>
              <w:sz w:val="24"/>
              <w:szCs w:val="24"/>
            </w:rPr>
            <w:instrText xml:space="preserve"> HYPERLINK \l _Toc19140 </w:instrText>
          </w:r>
          <w:r>
            <w:rPr>
              <w:b/>
              <w:sz w:val="24"/>
              <w:szCs w:val="24"/>
            </w:rPr>
            <w:fldChar w:fldCharType="separate"/>
          </w:r>
          <w:r>
            <w:rPr>
              <w:rFonts w:hint="eastAsia" w:ascii="黑体" w:hAnsi="黑体" w:eastAsia="黑体"/>
              <w:b/>
              <w:sz w:val="24"/>
              <w:szCs w:val="24"/>
            </w:rPr>
            <w:t>第五部分 附表</w:t>
          </w:r>
          <w:r>
            <w:rPr>
              <w:b/>
              <w:sz w:val="24"/>
              <w:szCs w:val="24"/>
            </w:rPr>
            <w:tab/>
          </w:r>
          <w:r>
            <w:rPr>
              <w:b/>
              <w:sz w:val="24"/>
              <w:szCs w:val="24"/>
            </w:rPr>
            <w:fldChar w:fldCharType="begin"/>
          </w:r>
          <w:r>
            <w:rPr>
              <w:b/>
              <w:sz w:val="24"/>
              <w:szCs w:val="24"/>
            </w:rPr>
            <w:instrText xml:space="preserve"> PAGEREF _Toc19140 \h </w:instrText>
          </w:r>
          <w:r>
            <w:rPr>
              <w:b/>
              <w:sz w:val="24"/>
              <w:szCs w:val="24"/>
            </w:rPr>
            <w:fldChar w:fldCharType="separate"/>
          </w:r>
          <w:r>
            <w:rPr>
              <w:b/>
              <w:sz w:val="24"/>
              <w:szCs w:val="24"/>
            </w:rPr>
            <w:t>55</w:t>
          </w:r>
          <w:r>
            <w:rPr>
              <w:b/>
              <w:sz w:val="24"/>
              <w:szCs w:val="24"/>
            </w:rPr>
            <w:fldChar w:fldCharType="end"/>
          </w:r>
          <w:r>
            <w:rPr>
              <w:b/>
              <w:sz w:val="24"/>
              <w:szCs w:val="24"/>
            </w:rPr>
            <w:fldChar w:fldCharType="end"/>
          </w:r>
        </w:p>
        <w:p w14:paraId="5D6C6739">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_Toc9120 </w:instrText>
          </w:r>
          <w:r>
            <w:rPr>
              <w:sz w:val="24"/>
              <w:szCs w:val="24"/>
            </w:rPr>
            <w:fldChar w:fldCharType="separate"/>
          </w:r>
          <w:r>
            <w:rPr>
              <w:rFonts w:hint="eastAsia" w:ascii="黑体" w:hAnsi="Times New Roman" w:eastAsia="黑体" w:cs="Times New Roman"/>
              <w:sz w:val="24"/>
              <w:szCs w:val="24"/>
              <w:lang w:val="zh-CN"/>
            </w:rPr>
            <w:t>一、收入支出决算总表</w:t>
          </w:r>
          <w:r>
            <w:rPr>
              <w:sz w:val="24"/>
              <w:szCs w:val="24"/>
            </w:rPr>
            <w:tab/>
          </w:r>
          <w:r>
            <w:rPr>
              <w:sz w:val="24"/>
              <w:szCs w:val="24"/>
            </w:rPr>
            <w:fldChar w:fldCharType="begin"/>
          </w:r>
          <w:r>
            <w:rPr>
              <w:sz w:val="24"/>
              <w:szCs w:val="24"/>
            </w:rPr>
            <w:instrText xml:space="preserve"> PAGEREF _Toc9120 \h </w:instrText>
          </w:r>
          <w:r>
            <w:rPr>
              <w:sz w:val="24"/>
              <w:szCs w:val="24"/>
            </w:rPr>
            <w:fldChar w:fldCharType="separate"/>
          </w:r>
          <w:r>
            <w:rPr>
              <w:sz w:val="24"/>
              <w:szCs w:val="24"/>
            </w:rPr>
            <w:t>55</w:t>
          </w:r>
          <w:r>
            <w:rPr>
              <w:sz w:val="24"/>
              <w:szCs w:val="24"/>
            </w:rPr>
            <w:fldChar w:fldCharType="end"/>
          </w:r>
          <w:r>
            <w:rPr>
              <w:sz w:val="24"/>
              <w:szCs w:val="24"/>
            </w:rPr>
            <w:fldChar w:fldCharType="end"/>
          </w:r>
        </w:p>
        <w:p w14:paraId="62B7A71B">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_Toc1809 </w:instrText>
          </w:r>
          <w:r>
            <w:rPr>
              <w:sz w:val="24"/>
              <w:szCs w:val="24"/>
            </w:rPr>
            <w:fldChar w:fldCharType="separate"/>
          </w:r>
          <w:r>
            <w:rPr>
              <w:rFonts w:hint="eastAsia" w:ascii="黑体" w:hAnsi="Times New Roman" w:eastAsia="黑体" w:cs="Times New Roman"/>
              <w:sz w:val="24"/>
              <w:szCs w:val="24"/>
              <w:lang w:val="zh-CN"/>
            </w:rPr>
            <w:t>二、收入决算表</w:t>
          </w:r>
          <w:r>
            <w:rPr>
              <w:sz w:val="24"/>
              <w:szCs w:val="24"/>
            </w:rPr>
            <w:tab/>
          </w:r>
          <w:r>
            <w:rPr>
              <w:sz w:val="24"/>
              <w:szCs w:val="24"/>
            </w:rPr>
            <w:fldChar w:fldCharType="begin"/>
          </w:r>
          <w:r>
            <w:rPr>
              <w:sz w:val="24"/>
              <w:szCs w:val="24"/>
            </w:rPr>
            <w:instrText xml:space="preserve"> PAGEREF _Toc1809 \h </w:instrText>
          </w:r>
          <w:r>
            <w:rPr>
              <w:sz w:val="24"/>
              <w:szCs w:val="24"/>
            </w:rPr>
            <w:fldChar w:fldCharType="separate"/>
          </w:r>
          <w:r>
            <w:rPr>
              <w:sz w:val="24"/>
              <w:szCs w:val="24"/>
            </w:rPr>
            <w:t>55</w:t>
          </w:r>
          <w:r>
            <w:rPr>
              <w:sz w:val="24"/>
              <w:szCs w:val="24"/>
            </w:rPr>
            <w:fldChar w:fldCharType="end"/>
          </w:r>
          <w:r>
            <w:rPr>
              <w:sz w:val="24"/>
              <w:szCs w:val="24"/>
            </w:rPr>
            <w:fldChar w:fldCharType="end"/>
          </w:r>
        </w:p>
        <w:p w14:paraId="109E7413">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_Toc16928 </w:instrText>
          </w:r>
          <w:r>
            <w:rPr>
              <w:sz w:val="24"/>
              <w:szCs w:val="24"/>
            </w:rPr>
            <w:fldChar w:fldCharType="separate"/>
          </w:r>
          <w:r>
            <w:rPr>
              <w:rFonts w:hint="eastAsia" w:ascii="黑体" w:hAnsi="Times New Roman" w:eastAsia="黑体" w:cs="Times New Roman"/>
              <w:sz w:val="24"/>
              <w:szCs w:val="24"/>
              <w:lang w:val="zh-CN"/>
            </w:rPr>
            <w:t>三、支出决算表</w:t>
          </w:r>
          <w:r>
            <w:rPr>
              <w:sz w:val="24"/>
              <w:szCs w:val="24"/>
            </w:rPr>
            <w:tab/>
          </w:r>
          <w:r>
            <w:rPr>
              <w:sz w:val="24"/>
              <w:szCs w:val="24"/>
            </w:rPr>
            <w:fldChar w:fldCharType="begin"/>
          </w:r>
          <w:r>
            <w:rPr>
              <w:sz w:val="24"/>
              <w:szCs w:val="24"/>
            </w:rPr>
            <w:instrText xml:space="preserve"> PAGEREF _Toc16928 \h </w:instrText>
          </w:r>
          <w:r>
            <w:rPr>
              <w:sz w:val="24"/>
              <w:szCs w:val="24"/>
            </w:rPr>
            <w:fldChar w:fldCharType="separate"/>
          </w:r>
          <w:r>
            <w:rPr>
              <w:sz w:val="24"/>
              <w:szCs w:val="24"/>
            </w:rPr>
            <w:t>55</w:t>
          </w:r>
          <w:r>
            <w:rPr>
              <w:sz w:val="24"/>
              <w:szCs w:val="24"/>
            </w:rPr>
            <w:fldChar w:fldCharType="end"/>
          </w:r>
          <w:r>
            <w:rPr>
              <w:sz w:val="24"/>
              <w:szCs w:val="24"/>
            </w:rPr>
            <w:fldChar w:fldCharType="end"/>
          </w:r>
        </w:p>
        <w:p w14:paraId="32A25A23">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_Toc4737 </w:instrText>
          </w:r>
          <w:r>
            <w:rPr>
              <w:sz w:val="24"/>
              <w:szCs w:val="24"/>
            </w:rPr>
            <w:fldChar w:fldCharType="separate"/>
          </w:r>
          <w:r>
            <w:rPr>
              <w:rFonts w:hint="eastAsia" w:ascii="黑体" w:hAnsi="Times New Roman" w:eastAsia="黑体" w:cs="Times New Roman"/>
              <w:sz w:val="24"/>
              <w:szCs w:val="24"/>
              <w:lang w:val="zh-CN"/>
            </w:rPr>
            <w:t>四、财政拨款收入支出决算总表</w:t>
          </w:r>
          <w:r>
            <w:rPr>
              <w:sz w:val="24"/>
              <w:szCs w:val="24"/>
            </w:rPr>
            <w:tab/>
          </w:r>
          <w:r>
            <w:rPr>
              <w:sz w:val="24"/>
              <w:szCs w:val="24"/>
            </w:rPr>
            <w:fldChar w:fldCharType="begin"/>
          </w:r>
          <w:r>
            <w:rPr>
              <w:sz w:val="24"/>
              <w:szCs w:val="24"/>
            </w:rPr>
            <w:instrText xml:space="preserve"> PAGEREF _Toc4737 \h </w:instrText>
          </w:r>
          <w:r>
            <w:rPr>
              <w:sz w:val="24"/>
              <w:szCs w:val="24"/>
            </w:rPr>
            <w:fldChar w:fldCharType="separate"/>
          </w:r>
          <w:r>
            <w:rPr>
              <w:sz w:val="24"/>
              <w:szCs w:val="24"/>
            </w:rPr>
            <w:t>55</w:t>
          </w:r>
          <w:r>
            <w:rPr>
              <w:sz w:val="24"/>
              <w:szCs w:val="24"/>
            </w:rPr>
            <w:fldChar w:fldCharType="end"/>
          </w:r>
          <w:r>
            <w:rPr>
              <w:sz w:val="24"/>
              <w:szCs w:val="24"/>
            </w:rPr>
            <w:fldChar w:fldCharType="end"/>
          </w:r>
        </w:p>
        <w:p w14:paraId="6FCCD44A">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_Toc18338 </w:instrText>
          </w:r>
          <w:r>
            <w:rPr>
              <w:sz w:val="24"/>
              <w:szCs w:val="24"/>
            </w:rPr>
            <w:fldChar w:fldCharType="separate"/>
          </w:r>
          <w:r>
            <w:rPr>
              <w:rFonts w:hint="eastAsia" w:ascii="黑体" w:hAnsi="Times New Roman" w:eastAsia="黑体" w:cs="Times New Roman"/>
              <w:sz w:val="24"/>
              <w:szCs w:val="24"/>
              <w:lang w:val="zh-CN"/>
            </w:rPr>
            <w:t>五、财政拨款支出决算明细表</w:t>
          </w:r>
          <w:r>
            <w:rPr>
              <w:sz w:val="24"/>
              <w:szCs w:val="24"/>
            </w:rPr>
            <w:tab/>
          </w:r>
          <w:r>
            <w:rPr>
              <w:sz w:val="24"/>
              <w:szCs w:val="24"/>
            </w:rPr>
            <w:fldChar w:fldCharType="begin"/>
          </w:r>
          <w:r>
            <w:rPr>
              <w:sz w:val="24"/>
              <w:szCs w:val="24"/>
            </w:rPr>
            <w:instrText xml:space="preserve"> PAGEREF _Toc18338 \h </w:instrText>
          </w:r>
          <w:r>
            <w:rPr>
              <w:sz w:val="24"/>
              <w:szCs w:val="24"/>
            </w:rPr>
            <w:fldChar w:fldCharType="separate"/>
          </w:r>
          <w:r>
            <w:rPr>
              <w:sz w:val="24"/>
              <w:szCs w:val="24"/>
            </w:rPr>
            <w:t>55</w:t>
          </w:r>
          <w:r>
            <w:rPr>
              <w:sz w:val="24"/>
              <w:szCs w:val="24"/>
            </w:rPr>
            <w:fldChar w:fldCharType="end"/>
          </w:r>
          <w:r>
            <w:rPr>
              <w:sz w:val="24"/>
              <w:szCs w:val="24"/>
            </w:rPr>
            <w:fldChar w:fldCharType="end"/>
          </w:r>
        </w:p>
        <w:p w14:paraId="157ABE80">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_Toc29855 </w:instrText>
          </w:r>
          <w:r>
            <w:rPr>
              <w:sz w:val="24"/>
              <w:szCs w:val="24"/>
            </w:rPr>
            <w:fldChar w:fldCharType="separate"/>
          </w:r>
          <w:r>
            <w:rPr>
              <w:rFonts w:hint="eastAsia" w:ascii="黑体" w:hAnsi="Times New Roman" w:eastAsia="黑体" w:cs="Times New Roman"/>
              <w:sz w:val="24"/>
              <w:szCs w:val="24"/>
              <w:lang w:val="zh-CN"/>
            </w:rPr>
            <w:t>六、一般公共预算财政拨款支出决算表</w:t>
          </w:r>
          <w:r>
            <w:rPr>
              <w:sz w:val="24"/>
              <w:szCs w:val="24"/>
            </w:rPr>
            <w:tab/>
          </w:r>
          <w:r>
            <w:rPr>
              <w:sz w:val="24"/>
              <w:szCs w:val="24"/>
            </w:rPr>
            <w:fldChar w:fldCharType="begin"/>
          </w:r>
          <w:r>
            <w:rPr>
              <w:sz w:val="24"/>
              <w:szCs w:val="24"/>
            </w:rPr>
            <w:instrText xml:space="preserve"> PAGEREF _Toc29855 \h </w:instrText>
          </w:r>
          <w:r>
            <w:rPr>
              <w:sz w:val="24"/>
              <w:szCs w:val="24"/>
            </w:rPr>
            <w:fldChar w:fldCharType="separate"/>
          </w:r>
          <w:r>
            <w:rPr>
              <w:sz w:val="24"/>
              <w:szCs w:val="24"/>
            </w:rPr>
            <w:t>55</w:t>
          </w:r>
          <w:r>
            <w:rPr>
              <w:sz w:val="24"/>
              <w:szCs w:val="24"/>
            </w:rPr>
            <w:fldChar w:fldCharType="end"/>
          </w:r>
          <w:r>
            <w:rPr>
              <w:sz w:val="24"/>
              <w:szCs w:val="24"/>
            </w:rPr>
            <w:fldChar w:fldCharType="end"/>
          </w:r>
        </w:p>
        <w:p w14:paraId="540C4623">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_Toc2815 </w:instrText>
          </w:r>
          <w:r>
            <w:rPr>
              <w:sz w:val="24"/>
              <w:szCs w:val="24"/>
            </w:rPr>
            <w:fldChar w:fldCharType="separate"/>
          </w:r>
          <w:r>
            <w:rPr>
              <w:rFonts w:hint="eastAsia" w:ascii="黑体" w:hAnsi="Times New Roman" w:eastAsia="黑体" w:cs="Times New Roman"/>
              <w:sz w:val="24"/>
              <w:szCs w:val="24"/>
              <w:lang w:val="zh-CN"/>
            </w:rPr>
            <w:t>七、一般公共预算财政拨款支出决算明细表</w:t>
          </w:r>
          <w:r>
            <w:rPr>
              <w:sz w:val="24"/>
              <w:szCs w:val="24"/>
            </w:rPr>
            <w:tab/>
          </w:r>
          <w:r>
            <w:rPr>
              <w:sz w:val="24"/>
              <w:szCs w:val="24"/>
            </w:rPr>
            <w:fldChar w:fldCharType="begin"/>
          </w:r>
          <w:r>
            <w:rPr>
              <w:sz w:val="24"/>
              <w:szCs w:val="24"/>
            </w:rPr>
            <w:instrText xml:space="preserve"> PAGEREF _Toc2815 \h </w:instrText>
          </w:r>
          <w:r>
            <w:rPr>
              <w:sz w:val="24"/>
              <w:szCs w:val="24"/>
            </w:rPr>
            <w:fldChar w:fldCharType="separate"/>
          </w:r>
          <w:r>
            <w:rPr>
              <w:sz w:val="24"/>
              <w:szCs w:val="24"/>
            </w:rPr>
            <w:t>55</w:t>
          </w:r>
          <w:r>
            <w:rPr>
              <w:sz w:val="24"/>
              <w:szCs w:val="24"/>
            </w:rPr>
            <w:fldChar w:fldCharType="end"/>
          </w:r>
          <w:r>
            <w:rPr>
              <w:sz w:val="24"/>
              <w:szCs w:val="24"/>
            </w:rPr>
            <w:fldChar w:fldCharType="end"/>
          </w:r>
        </w:p>
        <w:p w14:paraId="5E63E0EE">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_Toc10378 </w:instrText>
          </w:r>
          <w:r>
            <w:rPr>
              <w:sz w:val="24"/>
              <w:szCs w:val="24"/>
            </w:rPr>
            <w:fldChar w:fldCharType="separate"/>
          </w:r>
          <w:r>
            <w:rPr>
              <w:rFonts w:hint="eastAsia" w:ascii="黑体" w:hAnsi="Times New Roman" w:eastAsia="黑体" w:cs="Times New Roman"/>
              <w:sz w:val="24"/>
              <w:szCs w:val="24"/>
              <w:lang w:val="zh-CN"/>
            </w:rPr>
            <w:t>八、一般公共预算财政拨款基本支出决算表</w:t>
          </w:r>
          <w:r>
            <w:rPr>
              <w:sz w:val="24"/>
              <w:szCs w:val="24"/>
            </w:rPr>
            <w:tab/>
          </w:r>
          <w:r>
            <w:rPr>
              <w:sz w:val="24"/>
              <w:szCs w:val="24"/>
            </w:rPr>
            <w:fldChar w:fldCharType="begin"/>
          </w:r>
          <w:r>
            <w:rPr>
              <w:sz w:val="24"/>
              <w:szCs w:val="24"/>
            </w:rPr>
            <w:instrText xml:space="preserve"> PAGEREF _Toc10378 \h </w:instrText>
          </w:r>
          <w:r>
            <w:rPr>
              <w:sz w:val="24"/>
              <w:szCs w:val="24"/>
            </w:rPr>
            <w:fldChar w:fldCharType="separate"/>
          </w:r>
          <w:r>
            <w:rPr>
              <w:sz w:val="24"/>
              <w:szCs w:val="24"/>
            </w:rPr>
            <w:t>55</w:t>
          </w:r>
          <w:r>
            <w:rPr>
              <w:sz w:val="24"/>
              <w:szCs w:val="24"/>
            </w:rPr>
            <w:fldChar w:fldCharType="end"/>
          </w:r>
          <w:r>
            <w:rPr>
              <w:sz w:val="24"/>
              <w:szCs w:val="24"/>
            </w:rPr>
            <w:fldChar w:fldCharType="end"/>
          </w:r>
        </w:p>
        <w:p w14:paraId="25C8C2DB">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_Toc17362 </w:instrText>
          </w:r>
          <w:r>
            <w:rPr>
              <w:sz w:val="24"/>
              <w:szCs w:val="24"/>
            </w:rPr>
            <w:fldChar w:fldCharType="separate"/>
          </w:r>
          <w:r>
            <w:rPr>
              <w:rFonts w:hint="eastAsia" w:ascii="黑体" w:hAnsi="Times New Roman" w:eastAsia="黑体" w:cs="Times New Roman"/>
              <w:sz w:val="24"/>
              <w:szCs w:val="24"/>
              <w:lang w:val="zh-CN"/>
            </w:rPr>
            <w:t>九、一般公共预算财政拨款项目支出决算表</w:t>
          </w:r>
          <w:r>
            <w:rPr>
              <w:sz w:val="24"/>
              <w:szCs w:val="24"/>
            </w:rPr>
            <w:tab/>
          </w:r>
          <w:r>
            <w:rPr>
              <w:sz w:val="24"/>
              <w:szCs w:val="24"/>
            </w:rPr>
            <w:fldChar w:fldCharType="begin"/>
          </w:r>
          <w:r>
            <w:rPr>
              <w:sz w:val="24"/>
              <w:szCs w:val="24"/>
            </w:rPr>
            <w:instrText xml:space="preserve"> PAGEREF _Toc17362 \h </w:instrText>
          </w:r>
          <w:r>
            <w:rPr>
              <w:sz w:val="24"/>
              <w:szCs w:val="24"/>
            </w:rPr>
            <w:fldChar w:fldCharType="separate"/>
          </w:r>
          <w:r>
            <w:rPr>
              <w:sz w:val="24"/>
              <w:szCs w:val="24"/>
            </w:rPr>
            <w:t>55</w:t>
          </w:r>
          <w:r>
            <w:rPr>
              <w:sz w:val="24"/>
              <w:szCs w:val="24"/>
            </w:rPr>
            <w:fldChar w:fldCharType="end"/>
          </w:r>
          <w:r>
            <w:rPr>
              <w:sz w:val="24"/>
              <w:szCs w:val="24"/>
            </w:rPr>
            <w:fldChar w:fldCharType="end"/>
          </w:r>
        </w:p>
        <w:p w14:paraId="6C00F1F8">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_Toc5230 </w:instrText>
          </w:r>
          <w:r>
            <w:rPr>
              <w:sz w:val="24"/>
              <w:szCs w:val="24"/>
            </w:rPr>
            <w:fldChar w:fldCharType="separate"/>
          </w:r>
          <w:r>
            <w:rPr>
              <w:rFonts w:hint="eastAsia" w:ascii="黑体" w:hAnsi="Times New Roman" w:eastAsia="黑体" w:cs="Times New Roman"/>
              <w:sz w:val="24"/>
              <w:szCs w:val="24"/>
              <w:lang w:val="zh-CN"/>
            </w:rPr>
            <w:t>十、政府性基金预算财政拨款收入支出决算表</w:t>
          </w:r>
          <w:r>
            <w:rPr>
              <w:sz w:val="24"/>
              <w:szCs w:val="24"/>
            </w:rPr>
            <w:tab/>
          </w:r>
          <w:r>
            <w:rPr>
              <w:sz w:val="24"/>
              <w:szCs w:val="24"/>
            </w:rPr>
            <w:fldChar w:fldCharType="begin"/>
          </w:r>
          <w:r>
            <w:rPr>
              <w:sz w:val="24"/>
              <w:szCs w:val="24"/>
            </w:rPr>
            <w:instrText xml:space="preserve"> PAGEREF _Toc5230 \h </w:instrText>
          </w:r>
          <w:r>
            <w:rPr>
              <w:sz w:val="24"/>
              <w:szCs w:val="24"/>
            </w:rPr>
            <w:fldChar w:fldCharType="separate"/>
          </w:r>
          <w:r>
            <w:rPr>
              <w:sz w:val="24"/>
              <w:szCs w:val="24"/>
            </w:rPr>
            <w:t>55</w:t>
          </w:r>
          <w:r>
            <w:rPr>
              <w:sz w:val="24"/>
              <w:szCs w:val="24"/>
            </w:rPr>
            <w:fldChar w:fldCharType="end"/>
          </w:r>
          <w:r>
            <w:rPr>
              <w:sz w:val="24"/>
              <w:szCs w:val="24"/>
            </w:rPr>
            <w:fldChar w:fldCharType="end"/>
          </w:r>
        </w:p>
        <w:p w14:paraId="5F4191D9">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_Toc177 </w:instrText>
          </w:r>
          <w:r>
            <w:rPr>
              <w:sz w:val="24"/>
              <w:szCs w:val="24"/>
            </w:rPr>
            <w:fldChar w:fldCharType="separate"/>
          </w:r>
          <w:r>
            <w:rPr>
              <w:rFonts w:hint="eastAsia" w:ascii="黑体" w:hAnsi="Times New Roman" w:eastAsia="黑体" w:cs="Times New Roman"/>
              <w:sz w:val="24"/>
              <w:szCs w:val="24"/>
              <w:lang w:val="zh-CN"/>
            </w:rPr>
            <w:t>十一、国有资本经营预算财政拨款收入支出决算表</w:t>
          </w:r>
          <w:r>
            <w:rPr>
              <w:sz w:val="24"/>
              <w:szCs w:val="24"/>
            </w:rPr>
            <w:tab/>
          </w:r>
          <w:r>
            <w:rPr>
              <w:sz w:val="24"/>
              <w:szCs w:val="24"/>
            </w:rPr>
            <w:fldChar w:fldCharType="begin"/>
          </w:r>
          <w:r>
            <w:rPr>
              <w:sz w:val="24"/>
              <w:szCs w:val="24"/>
            </w:rPr>
            <w:instrText xml:space="preserve"> PAGEREF _Toc177 \h </w:instrText>
          </w:r>
          <w:r>
            <w:rPr>
              <w:sz w:val="24"/>
              <w:szCs w:val="24"/>
            </w:rPr>
            <w:fldChar w:fldCharType="separate"/>
          </w:r>
          <w:r>
            <w:rPr>
              <w:sz w:val="24"/>
              <w:szCs w:val="24"/>
            </w:rPr>
            <w:t>55</w:t>
          </w:r>
          <w:r>
            <w:rPr>
              <w:sz w:val="24"/>
              <w:szCs w:val="24"/>
            </w:rPr>
            <w:fldChar w:fldCharType="end"/>
          </w:r>
          <w:r>
            <w:rPr>
              <w:sz w:val="24"/>
              <w:szCs w:val="24"/>
            </w:rPr>
            <w:fldChar w:fldCharType="end"/>
          </w:r>
        </w:p>
        <w:p w14:paraId="5EADE532">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sz w:val="24"/>
              <w:szCs w:val="24"/>
            </w:rPr>
          </w:pPr>
          <w:r>
            <w:rPr>
              <w:sz w:val="24"/>
              <w:szCs w:val="24"/>
            </w:rPr>
            <w:fldChar w:fldCharType="begin"/>
          </w:r>
          <w:r>
            <w:rPr>
              <w:sz w:val="24"/>
              <w:szCs w:val="24"/>
            </w:rPr>
            <w:instrText xml:space="preserve"> HYPERLINK \l _Toc4432 </w:instrText>
          </w:r>
          <w:r>
            <w:rPr>
              <w:sz w:val="24"/>
              <w:szCs w:val="24"/>
            </w:rPr>
            <w:fldChar w:fldCharType="separate"/>
          </w:r>
          <w:r>
            <w:rPr>
              <w:rFonts w:hint="eastAsia" w:ascii="黑体" w:hAnsi="Times New Roman" w:eastAsia="黑体" w:cs="Times New Roman"/>
              <w:sz w:val="24"/>
              <w:szCs w:val="24"/>
              <w:lang w:val="zh-CN"/>
            </w:rPr>
            <w:t>十二、国有资本经营预算财政拨款支出决算表</w:t>
          </w:r>
          <w:r>
            <w:rPr>
              <w:sz w:val="24"/>
              <w:szCs w:val="24"/>
            </w:rPr>
            <w:tab/>
          </w:r>
          <w:r>
            <w:rPr>
              <w:sz w:val="24"/>
              <w:szCs w:val="24"/>
            </w:rPr>
            <w:fldChar w:fldCharType="begin"/>
          </w:r>
          <w:r>
            <w:rPr>
              <w:sz w:val="24"/>
              <w:szCs w:val="24"/>
            </w:rPr>
            <w:instrText xml:space="preserve"> PAGEREF _Toc4432 \h </w:instrText>
          </w:r>
          <w:r>
            <w:rPr>
              <w:sz w:val="24"/>
              <w:szCs w:val="24"/>
            </w:rPr>
            <w:fldChar w:fldCharType="separate"/>
          </w:r>
          <w:r>
            <w:rPr>
              <w:sz w:val="24"/>
              <w:szCs w:val="24"/>
            </w:rPr>
            <w:t>55</w:t>
          </w:r>
          <w:r>
            <w:rPr>
              <w:sz w:val="24"/>
              <w:szCs w:val="24"/>
            </w:rPr>
            <w:fldChar w:fldCharType="end"/>
          </w:r>
          <w:r>
            <w:rPr>
              <w:sz w:val="24"/>
              <w:szCs w:val="24"/>
            </w:rPr>
            <w:fldChar w:fldCharType="end"/>
          </w:r>
        </w:p>
        <w:p w14:paraId="41296D18">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pPr>
          <w:r>
            <w:rPr>
              <w:sz w:val="24"/>
              <w:szCs w:val="24"/>
            </w:rPr>
            <w:fldChar w:fldCharType="begin"/>
          </w:r>
          <w:r>
            <w:rPr>
              <w:sz w:val="24"/>
              <w:szCs w:val="24"/>
            </w:rPr>
            <w:instrText xml:space="preserve"> HYPERLINK \l _Toc20525 </w:instrText>
          </w:r>
          <w:r>
            <w:rPr>
              <w:sz w:val="24"/>
              <w:szCs w:val="24"/>
            </w:rPr>
            <w:fldChar w:fldCharType="separate"/>
          </w:r>
          <w:r>
            <w:rPr>
              <w:rFonts w:hint="eastAsia" w:ascii="黑体" w:hAnsi="Times New Roman" w:eastAsia="黑体" w:cs="Times New Roman"/>
              <w:sz w:val="24"/>
              <w:szCs w:val="24"/>
              <w:lang w:val="zh-CN"/>
            </w:rPr>
            <w:t>十三、财政拨款“三公”经费支出决算表</w:t>
          </w:r>
          <w:r>
            <w:rPr>
              <w:sz w:val="24"/>
              <w:szCs w:val="24"/>
            </w:rPr>
            <w:tab/>
          </w:r>
          <w:r>
            <w:rPr>
              <w:sz w:val="24"/>
              <w:szCs w:val="24"/>
            </w:rPr>
            <w:fldChar w:fldCharType="begin"/>
          </w:r>
          <w:r>
            <w:rPr>
              <w:sz w:val="24"/>
              <w:szCs w:val="24"/>
            </w:rPr>
            <w:instrText xml:space="preserve"> PAGEREF _Toc20525 \h </w:instrText>
          </w:r>
          <w:r>
            <w:rPr>
              <w:sz w:val="24"/>
              <w:szCs w:val="24"/>
            </w:rPr>
            <w:fldChar w:fldCharType="separate"/>
          </w:r>
          <w:r>
            <w:rPr>
              <w:sz w:val="24"/>
              <w:szCs w:val="24"/>
            </w:rPr>
            <w:t>55</w:t>
          </w:r>
          <w:r>
            <w:rPr>
              <w:sz w:val="24"/>
              <w:szCs w:val="24"/>
            </w:rPr>
            <w:fldChar w:fldCharType="end"/>
          </w:r>
          <w:r>
            <w:rPr>
              <w:sz w:val="24"/>
              <w:szCs w:val="24"/>
            </w:rPr>
            <w:fldChar w:fldCharType="end"/>
          </w:r>
        </w:p>
        <w:p w14:paraId="3D1F187C">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rFonts w:asciiTheme="minorHAnsi" w:hAnsiTheme="minorHAnsi" w:eastAsiaTheme="minorEastAsia" w:cstheme="minorBidi"/>
              <w:b/>
              <w:sz w:val="20"/>
              <w:szCs w:val="20"/>
            </w:rPr>
          </w:pPr>
          <w:r>
            <w:rPr>
              <w:b/>
            </w:rPr>
            <w:fldChar w:fldCharType="end"/>
          </w:r>
        </w:p>
      </w:sdtContent>
    </w:sdt>
    <w:p w14:paraId="21A3227B">
      <w:pPr>
        <w:pStyle w:val="38"/>
        <w:keepNext w:val="0"/>
        <w:keepLines w:val="0"/>
        <w:pageBreakBefore w:val="0"/>
        <w:widowControl/>
        <w:tabs>
          <w:tab w:val="right" w:leader="dot" w:pos="8306"/>
        </w:tabs>
        <w:kinsoku/>
        <w:wordWrap/>
        <w:overflowPunct/>
        <w:topLinePunct w:val="0"/>
        <w:autoSpaceDE/>
        <w:autoSpaceDN/>
        <w:bidi w:val="0"/>
        <w:adjustRightInd/>
        <w:snapToGrid/>
        <w:spacing w:line="520" w:lineRule="exact"/>
        <w:textAlignment w:val="auto"/>
        <w:rPr>
          <w:rFonts w:asciiTheme="minorHAnsi" w:hAnsiTheme="minorHAnsi" w:eastAsiaTheme="minorEastAsia" w:cstheme="minorBidi"/>
          <w:b/>
          <w:sz w:val="20"/>
          <w:szCs w:val="20"/>
        </w:rPr>
      </w:pPr>
    </w:p>
    <w:p w14:paraId="117ED45B">
      <w:pPr>
        <w:rPr>
          <w:rFonts w:ascii="Times New Roman" w:hAnsi="Times New Roman" w:eastAsia="宋体" w:cs="Times New Roman"/>
          <w:b/>
          <w:kern w:val="2"/>
          <w:sz w:val="21"/>
          <w:szCs w:val="24"/>
          <w:lang w:val="en-US" w:eastAsia="zh-CN" w:bidi="ar-SA"/>
        </w:rPr>
      </w:pPr>
      <w:r>
        <w:rPr>
          <w:b/>
        </w:rPr>
        <w:fldChar w:fldCharType="end"/>
      </w:r>
    </w:p>
    <w:p w14:paraId="60A338E2">
      <w:pPr>
        <w:rPr>
          <w:rFonts w:ascii="Times New Roman" w:hAnsi="Times New Roman" w:eastAsia="宋体" w:cs="Times New Roman"/>
          <w:b/>
          <w:kern w:val="2"/>
          <w:sz w:val="21"/>
          <w:szCs w:val="24"/>
          <w:lang w:val="en-US" w:eastAsia="zh-CN" w:bidi="ar-SA"/>
        </w:rPr>
      </w:pPr>
    </w:p>
    <w:p w14:paraId="13162160">
      <w:pPr>
        <w:pStyle w:val="2"/>
        <w:jc w:val="center"/>
        <w:outlineLvl w:val="9"/>
        <w:rPr>
          <w:rFonts w:hint="eastAsia" w:ascii="黑体" w:hAnsi="黑体" w:eastAsia="黑体"/>
          <w:b w:val="0"/>
        </w:rPr>
        <w:sectPr>
          <w:footerReference r:id="rId7" w:type="first"/>
          <w:headerReference r:id="rId5" w:type="default"/>
          <w:footerReference r:id="rId6" w:type="default"/>
          <w:pgSz w:w="11906" w:h="16838"/>
          <w:pgMar w:top="1440" w:right="1800" w:bottom="1440" w:left="1800" w:header="851" w:footer="992" w:gutter="0"/>
          <w:pgNumType w:start="1"/>
          <w:cols w:space="425" w:num="1"/>
          <w:titlePg/>
          <w:docGrid w:type="lines" w:linePitch="312" w:charSpace="0"/>
        </w:sectPr>
      </w:pPr>
    </w:p>
    <w:p w14:paraId="7E1857D6">
      <w:pPr>
        <w:pStyle w:val="2"/>
        <w:keepNext/>
        <w:keepLines/>
        <w:pageBreakBefore w:val="0"/>
        <w:widowControl w:val="0"/>
        <w:kinsoku/>
        <w:wordWrap/>
        <w:overflowPunct/>
        <w:topLinePunct w:val="0"/>
        <w:autoSpaceDE/>
        <w:autoSpaceDN/>
        <w:bidi w:val="0"/>
        <w:adjustRightInd/>
        <w:snapToGrid/>
        <w:spacing w:line="520" w:lineRule="exact"/>
        <w:jc w:val="center"/>
        <w:textAlignment w:val="auto"/>
        <w:rPr>
          <w:rStyle w:val="29"/>
          <w:rFonts w:ascii="黑体" w:hAnsi="黑体" w:eastAsia="黑体"/>
          <w:b/>
          <w:bCs w:val="0"/>
        </w:rPr>
      </w:pPr>
      <w:bookmarkStart w:id="14" w:name="_Toc7329"/>
      <w:bookmarkStart w:id="15" w:name="_Toc27975"/>
      <w:r>
        <w:rPr>
          <w:rFonts w:hint="eastAsia" w:ascii="黑体" w:hAnsi="黑体" w:eastAsia="黑体"/>
          <w:b w:val="0"/>
        </w:rPr>
        <w:t xml:space="preserve">第一部分 </w:t>
      </w:r>
      <w:r>
        <w:rPr>
          <w:rStyle w:val="29"/>
          <w:rFonts w:hint="eastAsia" w:ascii="黑体" w:hAnsi="黑体" w:eastAsia="黑体"/>
          <w:b w:val="0"/>
          <w:bCs w:val="0"/>
        </w:rPr>
        <w:t>部门概况</w:t>
      </w:r>
      <w:bookmarkEnd w:id="14"/>
      <w:bookmarkEnd w:id="15"/>
    </w:p>
    <w:p w14:paraId="6E8CE1E0">
      <w:pPr>
        <w:pStyle w:val="3"/>
        <w:numPr>
          <w:ilvl w:val="0"/>
          <w:numId w:val="1"/>
        </w:numPr>
        <w:rPr>
          <w:rFonts w:hint="eastAsia" w:ascii="仿宋" w:hAnsi="仿宋" w:eastAsia="仿宋" w:cs="Times New Roman"/>
          <w:b w:val="0"/>
          <w:bCs/>
          <w:color w:val="auto"/>
          <w:kern w:val="0"/>
          <w:sz w:val="32"/>
          <w:szCs w:val="32"/>
          <w:highlight w:val="none"/>
          <w:lang w:val="en-US" w:eastAsia="zh-CN" w:bidi="ar-SA"/>
        </w:rPr>
      </w:pPr>
      <w:bookmarkStart w:id="16" w:name="_Toc18930"/>
      <w:bookmarkStart w:id="17" w:name="_Toc3118"/>
      <w:bookmarkStart w:id="18" w:name="_Toc17443"/>
      <w:bookmarkStart w:id="19" w:name="_Toc4151"/>
      <w:bookmarkStart w:id="20" w:name="_Toc23556"/>
      <w:bookmarkStart w:id="21" w:name="_Toc15378445"/>
      <w:bookmarkStart w:id="22" w:name="_Toc15377198"/>
      <w:r>
        <w:rPr>
          <w:rFonts w:hint="eastAsia" w:ascii="黑体" w:hAnsi="黑体" w:eastAsia="黑体"/>
          <w:b w:val="0"/>
          <w:lang w:val="en-US" w:eastAsia="zh-CN"/>
        </w:rPr>
        <w:t>部门职责</w:t>
      </w:r>
      <w:bookmarkEnd w:id="16"/>
      <w:bookmarkEnd w:id="17"/>
      <w:bookmarkEnd w:id="18"/>
      <w:bookmarkEnd w:id="19"/>
      <w:bookmarkEnd w:id="20"/>
    </w:p>
    <w:bookmarkEnd w:id="21"/>
    <w:bookmarkEnd w:id="22"/>
    <w:p w14:paraId="02B23AA3">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default" w:ascii="仿宋_GB2312" w:hAnsi="仿宋_GB2312" w:eastAsia="仿宋_GB2312"/>
          <w:sz w:val="32"/>
          <w:szCs w:val="22"/>
          <w:lang w:val="en-US" w:eastAsia="zh-CN"/>
        </w:rPr>
      </w:pPr>
      <w:bookmarkStart w:id="23" w:name="_Toc15377199"/>
      <w:bookmarkStart w:id="24" w:name="_Toc15378446"/>
      <w:bookmarkStart w:id="25" w:name="_Toc15377200"/>
      <w:bookmarkStart w:id="26" w:name="_Toc15396601"/>
      <w:r>
        <w:rPr>
          <w:rStyle w:val="36"/>
          <w:rFonts w:hint="eastAsia" w:ascii="仿宋_GB2312" w:hAnsi="仿宋_GB2312" w:eastAsia="仿宋_GB2312"/>
          <w:sz w:val="32"/>
          <w:szCs w:val="22"/>
          <w:lang w:val="en-US" w:eastAsia="zh-CN"/>
        </w:rPr>
        <w:t>（一）射洪市交通运输局职责</w:t>
      </w:r>
    </w:p>
    <w:p w14:paraId="548F2547">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1、贯彻执行国家和省市有关交通运输行业的方针、政策和法律法规；负责本部门依法行政工作，落实行政执法责任制；指导公路水路行业有关体制改革工作，承担全县、省县乡公路管理的有关工作；</w:t>
      </w:r>
    </w:p>
    <w:p w14:paraId="546264CD">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2、承担道路、水路交通运输市场监管责任，组织监督道路、水路运输有关政策、技术标准和运营规范的贯彻实施，指导城乡运输管理工作，指导城市公交客运和出租汽车行业管理工作，会同有关部门制定运输价格；承担水上交通安全监管责任；负责提出公路水路固定资产投资规模和方向、财政性资金安排建议，按照规定权限审批、核准市、县规划内和年度计划规模内固定资产投资项目；承担公路、水路建设市场监管责任；</w:t>
      </w:r>
    </w:p>
    <w:p w14:paraId="0FE37420">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eastAsia="zh-CN"/>
        </w:rPr>
      </w:pPr>
      <w:r>
        <w:rPr>
          <w:rStyle w:val="36"/>
          <w:rFonts w:hint="eastAsia" w:ascii="仿宋_GB2312" w:hAnsi="仿宋_GB2312" w:eastAsia="仿宋_GB2312"/>
          <w:sz w:val="32"/>
          <w:szCs w:val="22"/>
          <w:lang w:val="en-US" w:eastAsia="zh-CN"/>
        </w:rPr>
        <w:t>3、指导公路、水路行业安全生产和应急管理工作；监督实施交通运输科技政策，组织重大科技开发；负责公路、水路有关涉外工作，开展对外技术交流与合作等职责</w:t>
      </w:r>
      <w:r>
        <w:rPr>
          <w:rStyle w:val="36"/>
          <w:rFonts w:hint="eastAsia" w:ascii="仿宋_GB2312" w:hAnsi="仿宋_GB2312" w:eastAsia="仿宋_GB2312"/>
          <w:sz w:val="32"/>
          <w:szCs w:val="22"/>
          <w:lang w:eastAsia="zh-CN"/>
        </w:rPr>
        <w:t>。</w:t>
      </w:r>
      <w:bookmarkEnd w:id="23"/>
      <w:bookmarkEnd w:id="24"/>
    </w:p>
    <w:p w14:paraId="5174EA35">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（二）</w:t>
      </w:r>
      <w:r>
        <w:rPr>
          <w:rFonts w:hint="eastAsia" w:ascii="仿宋" w:hAnsi="仿宋" w:eastAsia="仿宋"/>
          <w:sz w:val="32"/>
          <w:szCs w:val="32"/>
          <w:lang w:val="en-US" w:eastAsia="zh-CN"/>
        </w:rPr>
        <w:t>四川省射洪市地方海事处</w:t>
      </w:r>
      <w:r>
        <w:rPr>
          <w:rStyle w:val="36"/>
          <w:rFonts w:hint="eastAsia" w:ascii="仿宋_GB2312" w:hAnsi="仿宋_GB2312" w:eastAsia="仿宋_GB2312"/>
          <w:sz w:val="32"/>
          <w:szCs w:val="22"/>
          <w:lang w:val="en-US" w:eastAsia="zh-CN"/>
        </w:rPr>
        <w:t>职责</w:t>
      </w:r>
    </w:p>
    <w:p w14:paraId="4F0CD46B">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_GB2312" w:eastAsia="仿宋_GB2312"/>
          <w:sz w:val="32"/>
          <w:szCs w:val="32"/>
        </w:rPr>
      </w:pPr>
      <w:r>
        <w:rPr>
          <w:rFonts w:hint="eastAsia" w:ascii="仿宋_GB2312" w:eastAsia="仿宋_GB2312"/>
          <w:sz w:val="32"/>
          <w:szCs w:val="32"/>
        </w:rPr>
        <w:t>射洪市地方海事处贯彻落实国家水路运输管理的方针、政策、法律法规。加强宏观调控，统筹、协调，服务、监督、促进航运发展。负责辖区水路客货运输、市场秩序的管理和整顿，审批船舶建造，运力增减的申报，核发办理企业、个体船舶水路营运开业申请，运输许可证、营业证。负责辖区航道养护，发布航道通告。监督沉船沉物及碍航物的打捞清除工作、对航道实施维护管理、整治、疏浚及设标，保障水上交通运输和安全的正常秩序。负责水上交通安全监督和管理。</w:t>
      </w:r>
    </w:p>
    <w:p w14:paraId="2E2B0B3C">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（三）</w:t>
      </w:r>
      <w:r>
        <w:rPr>
          <w:rFonts w:hint="eastAsia" w:ascii="仿宋" w:hAnsi="仿宋" w:eastAsia="仿宋" w:cs="Times New Roman"/>
          <w:sz w:val="32"/>
          <w:szCs w:val="32"/>
          <w:lang w:val="en-US" w:eastAsia="zh-CN"/>
        </w:rPr>
        <w:t>射洪市水上应急救援中心</w:t>
      </w:r>
      <w:r>
        <w:rPr>
          <w:rStyle w:val="36"/>
          <w:rFonts w:hint="eastAsia" w:ascii="仿宋_GB2312" w:hAnsi="仿宋_GB2312" w:eastAsia="仿宋_GB2312"/>
          <w:sz w:val="32"/>
          <w:szCs w:val="22"/>
          <w:lang w:val="en-US" w:eastAsia="zh-CN"/>
        </w:rPr>
        <w:t>职责</w:t>
      </w:r>
    </w:p>
    <w:p w14:paraId="787BF143">
      <w:pPr>
        <w:snapToGrid w:val="0"/>
        <w:spacing w:line="52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1</w:t>
      </w:r>
      <w:r>
        <w:rPr>
          <w:rFonts w:hint="eastAsia" w:ascii="仿宋_GB2312" w:hAnsi="仿宋" w:eastAsia="仿宋_GB2312"/>
          <w:sz w:val="32"/>
          <w:szCs w:val="32"/>
          <w:lang w:eastAsia="zh-CN"/>
        </w:rPr>
        <w:t>、贯彻执行国家、省、市有关水上应急救援法律法规，组织召开成员单位联席会议，收集意见建议，协调突发事件的应急响应、调查和评估工作。</w:t>
      </w:r>
    </w:p>
    <w:p w14:paraId="53D68984">
      <w:pPr>
        <w:snapToGrid w:val="0"/>
        <w:spacing w:line="52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2</w:t>
      </w:r>
      <w:r>
        <w:rPr>
          <w:rFonts w:hint="eastAsia" w:ascii="仿宋_GB2312" w:hAnsi="仿宋" w:eastAsia="仿宋_GB2312"/>
          <w:sz w:val="32"/>
          <w:szCs w:val="32"/>
          <w:lang w:eastAsia="zh-CN"/>
        </w:rPr>
        <w:t>、结合我市实际制定修订水上交通突发事件处置和水上应急救援方案，制定职工队伍的业务学习培训计划并负责组织实施。</w:t>
      </w:r>
    </w:p>
    <w:p w14:paraId="7DD98D4E">
      <w:pPr>
        <w:snapToGrid w:val="0"/>
        <w:spacing w:line="52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3</w:t>
      </w:r>
      <w:r>
        <w:rPr>
          <w:rFonts w:hint="eastAsia" w:ascii="仿宋_GB2312" w:hAnsi="仿宋" w:eastAsia="仿宋_GB2312"/>
          <w:sz w:val="32"/>
          <w:szCs w:val="32"/>
          <w:lang w:eastAsia="zh-CN"/>
        </w:rPr>
        <w:t>、负责管辖区域水上交通突发事件处置，开展水上应急救援工作。</w:t>
      </w:r>
    </w:p>
    <w:p w14:paraId="5D3532B6">
      <w:pPr>
        <w:snapToGrid w:val="0"/>
        <w:spacing w:line="52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4</w:t>
      </w:r>
      <w:r>
        <w:rPr>
          <w:rFonts w:hint="eastAsia" w:ascii="仿宋_GB2312" w:hAnsi="仿宋" w:eastAsia="仿宋_GB2312"/>
          <w:sz w:val="32"/>
          <w:szCs w:val="32"/>
          <w:lang w:eastAsia="zh-CN"/>
        </w:rPr>
        <w:t>、负责管理水上应急救援24小时值班、接警报警、预警处置，并向上级报告处置情况。</w:t>
      </w:r>
    </w:p>
    <w:p w14:paraId="28ACE81A">
      <w:pPr>
        <w:snapToGrid w:val="0"/>
        <w:spacing w:line="520" w:lineRule="exact"/>
        <w:ind w:firstLine="640" w:firstLineChars="200"/>
        <w:rPr>
          <w:rFonts w:hint="eastAsia" w:ascii="仿宋_GB2312" w:hAnsi="仿宋" w:eastAsia="仿宋_GB2312"/>
          <w:sz w:val="32"/>
          <w:szCs w:val="32"/>
          <w:lang w:eastAsia="zh-CN"/>
        </w:rPr>
      </w:pPr>
      <w:r>
        <w:rPr>
          <w:rFonts w:hint="eastAsia" w:ascii="仿宋_GB2312" w:hAnsi="仿宋" w:eastAsia="仿宋_GB2312"/>
          <w:sz w:val="32"/>
          <w:szCs w:val="32"/>
          <w:lang w:val="en-US" w:eastAsia="zh-CN"/>
        </w:rPr>
        <w:t>5</w:t>
      </w:r>
      <w:r>
        <w:rPr>
          <w:rFonts w:hint="eastAsia" w:ascii="仿宋_GB2312" w:hAnsi="仿宋" w:eastAsia="仿宋_GB2312"/>
          <w:sz w:val="32"/>
          <w:szCs w:val="32"/>
          <w:lang w:eastAsia="zh-CN"/>
        </w:rPr>
        <w:t>、负责水上应急救援站（队）的规范化建设和管理，拟定救援装备计划和管理使用。</w:t>
      </w:r>
    </w:p>
    <w:p w14:paraId="2F6D8D49">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（四）</w:t>
      </w:r>
      <w:r>
        <w:rPr>
          <w:rFonts w:hint="eastAsia" w:ascii="仿宋" w:hAnsi="仿宋" w:eastAsia="仿宋" w:cs="Times New Roman"/>
          <w:sz w:val="32"/>
          <w:szCs w:val="32"/>
          <w:lang w:val="en-US" w:eastAsia="zh-CN"/>
        </w:rPr>
        <w:t>射洪市交通运输局道路运输管理所</w:t>
      </w:r>
      <w:r>
        <w:rPr>
          <w:rStyle w:val="36"/>
          <w:rFonts w:hint="eastAsia" w:ascii="仿宋_GB2312" w:hAnsi="仿宋_GB2312" w:eastAsia="仿宋_GB2312"/>
          <w:sz w:val="32"/>
          <w:szCs w:val="22"/>
          <w:lang w:val="en-US" w:eastAsia="zh-CN"/>
        </w:rPr>
        <w:t>职责</w:t>
      </w:r>
    </w:p>
    <w:p w14:paraId="7CD8A1FA">
      <w:pPr>
        <w:spacing w:line="600" w:lineRule="exact"/>
        <w:ind w:firstLine="605"/>
      </w:pPr>
      <w:r>
        <w:rPr>
          <w:rFonts w:hint="eastAsia" w:ascii="仿宋_GB2312" w:eastAsia="仿宋_GB2312" w:cs="仿宋_GB2312"/>
          <w:sz w:val="32"/>
          <w:szCs w:val="32"/>
          <w:lang w:bidi="ar-SA"/>
        </w:rPr>
        <w:t>射洪市交通运输局道路运输管理所，主要负责国家及上级有关道路运输政策法规贯彻落实，指导协调监督服务道路运输业可持续健康发展。</w:t>
      </w:r>
    </w:p>
    <w:p w14:paraId="4B9C5986">
      <w:pPr>
        <w:spacing w:line="600" w:lineRule="exact"/>
        <w:ind w:firstLine="605"/>
      </w:pPr>
      <w:r>
        <w:rPr>
          <w:rFonts w:hint="eastAsia" w:ascii="仿宋_GB2312" w:eastAsia="仿宋_GB2312" w:cs="仿宋_GB2312"/>
          <w:sz w:val="32"/>
          <w:szCs w:val="32"/>
          <w:lang w:val="en-US" w:eastAsia="zh-CN" w:bidi="ar-SA"/>
        </w:rPr>
        <w:t>1.</w:t>
      </w:r>
      <w:r>
        <w:rPr>
          <w:rFonts w:hint="eastAsia" w:ascii="仿宋_GB2312" w:eastAsia="仿宋_GB2312" w:cs="仿宋_GB2312"/>
          <w:sz w:val="32"/>
          <w:szCs w:val="32"/>
          <w:lang w:bidi="ar-SA"/>
        </w:rPr>
        <w:t>开展道路、客运、货运、运输服务、装卸搬运、机动车维修检测。</w:t>
      </w:r>
    </w:p>
    <w:p w14:paraId="550DC4BC">
      <w:pPr>
        <w:spacing w:line="600" w:lineRule="exact"/>
        <w:ind w:firstLine="605"/>
      </w:pPr>
      <w:r>
        <w:rPr>
          <w:rFonts w:hint="eastAsia" w:ascii="仿宋_GB2312" w:eastAsia="仿宋_GB2312" w:cs="仿宋_GB2312"/>
          <w:sz w:val="32"/>
          <w:szCs w:val="32"/>
          <w:lang w:val="en-US" w:eastAsia="zh-CN" w:bidi="ar-SA"/>
        </w:rPr>
        <w:t>2.</w:t>
      </w:r>
      <w:r>
        <w:rPr>
          <w:rFonts w:hint="eastAsia" w:ascii="仿宋_GB2312" w:eastAsia="仿宋_GB2312" w:cs="仿宋_GB2312"/>
          <w:sz w:val="32"/>
          <w:szCs w:val="32"/>
          <w:lang w:bidi="ar-SA"/>
        </w:rPr>
        <w:t>机动车驾驶员培训业的行业管理工作。</w:t>
      </w:r>
    </w:p>
    <w:p w14:paraId="2F96D1AA">
      <w:pPr>
        <w:spacing w:line="600" w:lineRule="exact"/>
        <w:ind w:firstLine="605"/>
      </w:pPr>
      <w:r>
        <w:rPr>
          <w:rFonts w:hint="eastAsia" w:ascii="仿宋_GB2312" w:eastAsia="仿宋_GB2312" w:cs="仿宋_GB2312"/>
          <w:sz w:val="32"/>
          <w:szCs w:val="32"/>
          <w:lang w:val="en-US" w:eastAsia="zh-CN" w:bidi="ar-SA"/>
        </w:rPr>
        <w:t>3.</w:t>
      </w:r>
      <w:r>
        <w:rPr>
          <w:rFonts w:hint="eastAsia" w:ascii="仿宋_GB2312" w:eastAsia="仿宋_GB2312" w:cs="仿宋_GB2312"/>
          <w:sz w:val="32"/>
          <w:szCs w:val="32"/>
          <w:lang w:bidi="ar-SA"/>
        </w:rPr>
        <w:t>根据管理权限审批道路货物运输、运输服务、驾驶员培训业户的开户停业及年度审验，核发许可证，道路运输证。</w:t>
      </w:r>
    </w:p>
    <w:p w14:paraId="17F92154">
      <w:pPr>
        <w:spacing w:line="600" w:lineRule="exact"/>
        <w:ind w:firstLine="605"/>
      </w:pPr>
      <w:r>
        <w:rPr>
          <w:rFonts w:hint="eastAsia" w:ascii="仿宋_GB2312" w:eastAsia="仿宋_GB2312" w:cs="仿宋_GB2312"/>
          <w:sz w:val="32"/>
          <w:szCs w:val="32"/>
          <w:lang w:val="en-US" w:eastAsia="zh-CN" w:bidi="ar-SA"/>
        </w:rPr>
        <w:t>4.</w:t>
      </w:r>
      <w:r>
        <w:rPr>
          <w:rFonts w:hint="eastAsia" w:ascii="仿宋_GB2312" w:eastAsia="仿宋_GB2312" w:cs="仿宋_GB2312"/>
          <w:sz w:val="32"/>
          <w:szCs w:val="32"/>
          <w:lang w:bidi="ar-SA"/>
        </w:rPr>
        <w:t>负责城市公共交通发展规划，出租汽车市场监管，规范出租汽车经营行为。</w:t>
      </w:r>
    </w:p>
    <w:p w14:paraId="2B7A12C9">
      <w:pPr>
        <w:pStyle w:val="3"/>
        <w:numPr>
          <w:ilvl w:val="0"/>
          <w:numId w:val="1"/>
        </w:numPr>
        <w:rPr>
          <w:rFonts w:hint="eastAsia" w:ascii="黑体" w:hAnsi="黑体" w:eastAsia="黑体"/>
          <w:b w:val="0"/>
          <w:lang w:val="en-US" w:eastAsia="zh-CN"/>
        </w:rPr>
      </w:pPr>
      <w:bookmarkStart w:id="27" w:name="_Toc2003"/>
      <w:bookmarkStart w:id="28" w:name="_Toc14490"/>
      <w:bookmarkStart w:id="29" w:name="_Toc22500"/>
      <w:bookmarkStart w:id="30" w:name="_Toc25961"/>
      <w:bookmarkStart w:id="31" w:name="_Toc10700"/>
      <w:r>
        <w:rPr>
          <w:rFonts w:hint="eastAsia" w:ascii="黑体" w:hAnsi="黑体" w:eastAsia="黑体"/>
          <w:b w:val="0"/>
          <w:lang w:val="en-US" w:eastAsia="zh-CN"/>
        </w:rPr>
        <w:t>机构设置</w:t>
      </w:r>
      <w:bookmarkEnd w:id="25"/>
      <w:bookmarkEnd w:id="26"/>
      <w:bookmarkEnd w:id="27"/>
      <w:bookmarkEnd w:id="28"/>
      <w:bookmarkEnd w:id="29"/>
      <w:bookmarkEnd w:id="30"/>
      <w:bookmarkEnd w:id="31"/>
    </w:p>
    <w:p w14:paraId="3E63B396">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highlight w:val="none"/>
          <w:lang w:val="en-US" w:eastAsia="zh-CN"/>
        </w:rPr>
      </w:pPr>
      <w:r>
        <w:rPr>
          <w:rStyle w:val="36"/>
          <w:rFonts w:hint="eastAsia" w:ascii="仿宋_GB2312" w:hAnsi="仿宋_GB2312" w:eastAsia="仿宋_GB2312"/>
          <w:sz w:val="32"/>
          <w:szCs w:val="22"/>
          <w:highlight w:val="none"/>
          <w:lang w:val="en-US" w:eastAsia="zh-CN"/>
        </w:rPr>
        <w:t>射洪市交通运输局2023年下属二级预算单位3个，其中财政全额拨款事业单位1个，其他事业单位2个。</w:t>
      </w:r>
    </w:p>
    <w:p w14:paraId="299559D9">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纳入</w:t>
      </w:r>
      <w:r>
        <w:rPr>
          <w:rStyle w:val="36"/>
          <w:rFonts w:hint="eastAsia" w:ascii="仿宋_GB2312" w:hAnsi="仿宋_GB2312" w:eastAsia="仿宋_GB2312"/>
          <w:sz w:val="32"/>
          <w:szCs w:val="22"/>
          <w:highlight w:val="none"/>
          <w:lang w:val="en-US" w:eastAsia="zh-CN"/>
        </w:rPr>
        <w:t>射洪市交通运输局</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年度部门决算编制范围的二级预算单位包括：</w:t>
      </w:r>
    </w:p>
    <w:p w14:paraId="5F0107B2">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1.四川省射洪市地方海事处</w:t>
      </w:r>
    </w:p>
    <w:p w14:paraId="40FD9CD2">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2.射洪市水上应急救援中心</w:t>
      </w:r>
    </w:p>
    <w:p w14:paraId="0454DE4A">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3.射洪市交通运输局道路运输管理所</w:t>
      </w:r>
    </w:p>
    <w:p w14:paraId="13F6735B">
      <w:pPr>
        <w:widowControl/>
        <w:jc w:val="left"/>
        <w:rPr>
          <w:rFonts w:ascii="仿宋" w:hAnsi="仿宋" w:eastAsia="仿宋"/>
          <w:kern w:val="0"/>
          <w:sz w:val="32"/>
          <w:szCs w:val="32"/>
        </w:rPr>
      </w:pPr>
      <w:r>
        <w:rPr>
          <w:rFonts w:ascii="仿宋" w:hAnsi="仿宋" w:eastAsia="仿宋"/>
          <w:sz w:val="32"/>
          <w:szCs w:val="32"/>
        </w:rPr>
        <w:br w:type="page"/>
      </w:r>
    </w:p>
    <w:p w14:paraId="477C7142">
      <w:pPr>
        <w:pStyle w:val="2"/>
        <w:keepNext/>
        <w:keepLines/>
        <w:pageBreakBefore w:val="0"/>
        <w:widowControl w:val="0"/>
        <w:kinsoku/>
        <w:wordWrap/>
        <w:overflowPunct/>
        <w:topLinePunct w:val="0"/>
        <w:autoSpaceDE/>
        <w:autoSpaceDN/>
        <w:bidi w:val="0"/>
        <w:adjustRightInd/>
        <w:snapToGrid/>
        <w:spacing w:line="520" w:lineRule="exact"/>
        <w:ind w:right="442"/>
        <w:jc w:val="center"/>
        <w:textAlignment w:val="auto"/>
        <w:rPr>
          <w:rStyle w:val="29"/>
          <w:rFonts w:ascii="黑体" w:hAnsi="黑体" w:eastAsia="黑体"/>
          <w:b w:val="0"/>
          <w:bCs/>
        </w:rPr>
      </w:pPr>
      <w:bookmarkStart w:id="32" w:name="_Toc21613"/>
      <w:bookmarkStart w:id="33" w:name="_Toc15377204"/>
      <w:bookmarkStart w:id="34" w:name="_Toc23312"/>
      <w:bookmarkStart w:id="35" w:name="_Toc15396602"/>
      <w:r>
        <w:rPr>
          <w:rFonts w:hint="eastAsia" w:ascii="黑体" w:hAnsi="黑体" w:eastAsia="黑体"/>
          <w:b w:val="0"/>
        </w:rPr>
        <w:t>第二部分 2023年度</w:t>
      </w:r>
      <w:r>
        <w:rPr>
          <w:rStyle w:val="29"/>
          <w:rFonts w:hint="eastAsia" w:ascii="黑体" w:hAnsi="黑体" w:eastAsia="黑体"/>
          <w:b w:val="0"/>
          <w:bCs/>
        </w:rPr>
        <w:t>部门决算情况说明</w:t>
      </w:r>
      <w:bookmarkEnd w:id="32"/>
      <w:bookmarkEnd w:id="33"/>
      <w:bookmarkEnd w:id="34"/>
      <w:bookmarkEnd w:id="35"/>
    </w:p>
    <w:p w14:paraId="14D8B5CA"/>
    <w:p w14:paraId="764896B1">
      <w:pPr>
        <w:pStyle w:val="28"/>
        <w:numPr>
          <w:ilvl w:val="0"/>
          <w:numId w:val="2"/>
        </w:numPr>
        <w:spacing w:line="600" w:lineRule="exact"/>
        <w:ind w:firstLineChars="0"/>
        <w:outlineLvl w:val="1"/>
        <w:rPr>
          <w:rStyle w:val="30"/>
          <w:rFonts w:ascii="黑体" w:hAnsi="黑体" w:eastAsia="黑体"/>
          <w:b w:val="0"/>
        </w:rPr>
      </w:pPr>
      <w:bookmarkStart w:id="36" w:name="_Toc29101"/>
      <w:bookmarkStart w:id="37" w:name="_Toc15377205"/>
      <w:bookmarkStart w:id="38" w:name="_Toc15396603"/>
      <w:bookmarkStart w:id="39" w:name="_Toc29956"/>
      <w:r>
        <w:rPr>
          <w:rFonts w:hint="eastAsia" w:ascii="黑体" w:hAnsi="黑体" w:eastAsia="黑体"/>
          <w:sz w:val="32"/>
          <w:szCs w:val="32"/>
        </w:rPr>
        <w:t>收</w:t>
      </w:r>
      <w:r>
        <w:rPr>
          <w:rStyle w:val="30"/>
          <w:rFonts w:hint="eastAsia" w:ascii="黑体" w:hAnsi="黑体" w:eastAsia="黑体"/>
          <w:b w:val="0"/>
        </w:rPr>
        <w:t>入支出决算总体情况说明</w:t>
      </w:r>
      <w:bookmarkEnd w:id="36"/>
      <w:bookmarkEnd w:id="37"/>
      <w:bookmarkEnd w:id="38"/>
      <w:bookmarkEnd w:id="39"/>
    </w:p>
    <w:p w14:paraId="3DCC58A6">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2023年度收、支总计均为</w:t>
      </w:r>
      <w:r>
        <w:rPr>
          <w:rFonts w:hint="eastAsia"/>
          <w:sz w:val="32"/>
          <w:szCs w:val="32"/>
        </w:rPr>
        <w:t>14272.27</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与2022年度相比，收、支总计各增加</w:t>
      </w:r>
      <w:r>
        <w:rPr>
          <w:rFonts w:hint="eastAsia" w:ascii="仿宋" w:hAnsi="仿宋" w:eastAsia="仿宋"/>
          <w:sz w:val="32"/>
          <w:szCs w:val="32"/>
          <w:lang w:val="en-US" w:eastAsia="zh-CN"/>
        </w:rPr>
        <w:t>493.38</w:t>
      </w:r>
      <w:r>
        <w:rPr>
          <w:rFonts w:hint="eastAsia" w:ascii="仿宋" w:hAnsi="仿宋" w:eastAsia="仿宋"/>
          <w:sz w:val="32"/>
          <w:szCs w:val="32"/>
        </w:rPr>
        <w:t>万元，增长</w:t>
      </w:r>
      <w:r>
        <w:rPr>
          <w:rFonts w:hint="eastAsia" w:ascii="仿宋" w:hAnsi="仿宋" w:eastAsia="仿宋"/>
          <w:sz w:val="32"/>
          <w:szCs w:val="32"/>
          <w:lang w:val="en-US" w:eastAsia="zh-CN"/>
        </w:rPr>
        <w:t>3.58</w:t>
      </w:r>
      <w:r>
        <w:rPr>
          <w:rFonts w:ascii="仿宋" w:hAnsi="仿宋" w:eastAsia="仿宋"/>
          <w:sz w:val="32"/>
          <w:szCs w:val="32"/>
        </w:rPr>
        <w:t>%</w:t>
      </w:r>
      <w:r>
        <w:rPr>
          <w:rFonts w:hint="eastAsia" w:ascii="仿宋" w:hAnsi="仿宋" w:eastAsia="仿宋"/>
          <w:sz w:val="32"/>
          <w:szCs w:val="32"/>
        </w:rPr>
        <w:t>。主要变动原因是本年度项目资金增加。</w:t>
      </w:r>
    </w:p>
    <w:p w14:paraId="08051320">
      <w:pPr>
        <w:spacing w:line="600" w:lineRule="exact"/>
        <w:ind w:firstLine="640" w:firstLineChars="200"/>
        <w:rPr>
          <w:rFonts w:ascii="仿宋" w:hAnsi="仿宋" w:eastAsia="仿宋"/>
          <w:sz w:val="32"/>
          <w:szCs w:val="32"/>
        </w:rPr>
      </w:pPr>
      <w:r>
        <w:rPr>
          <w:rFonts w:hint="eastAsia" w:ascii="仿宋" w:hAnsi="仿宋" w:eastAsia="仿宋"/>
          <w:sz w:val="32"/>
          <w:szCs w:val="32"/>
        </w:rPr>
        <w:t>（图</w:t>
      </w:r>
      <w:r>
        <w:rPr>
          <w:rFonts w:ascii="仿宋" w:hAnsi="仿宋" w:eastAsia="仿宋"/>
          <w:sz w:val="32"/>
          <w:szCs w:val="32"/>
        </w:rPr>
        <w:t>1</w:t>
      </w:r>
      <w:r>
        <w:rPr>
          <w:rFonts w:hint="eastAsia" w:ascii="仿宋" w:hAnsi="仿宋" w:eastAsia="仿宋"/>
          <w:sz w:val="32"/>
          <w:szCs w:val="32"/>
        </w:rPr>
        <w:t>：收、支决算总计变动情况图）（柱状图）</w:t>
      </w:r>
    </w:p>
    <w:p w14:paraId="7E0E5579">
      <w:pPr>
        <w:spacing w:line="600" w:lineRule="exact"/>
        <w:ind w:firstLine="420" w:firstLineChars="200"/>
        <w:jc w:val="left"/>
        <w:rPr>
          <w:rFonts w:ascii="仿宋_GB2312" w:eastAsia="仿宋_GB2312"/>
          <w:sz w:val="32"/>
          <w:szCs w:val="32"/>
        </w:rPr>
      </w:pPr>
      <w:r>
        <w:drawing>
          <wp:anchor distT="0" distB="0" distL="114300" distR="114300" simplePos="0" relativeHeight="251659264" behindDoc="0" locked="0" layoutInCell="1" allowOverlap="1">
            <wp:simplePos x="0" y="0"/>
            <wp:positionH relativeFrom="column">
              <wp:posOffset>370205</wp:posOffset>
            </wp:positionH>
            <wp:positionV relativeFrom="paragraph">
              <wp:posOffset>104140</wp:posOffset>
            </wp:positionV>
            <wp:extent cx="4335780" cy="3251835"/>
            <wp:effectExtent l="4445" t="5080" r="18415" b="4445"/>
            <wp:wrapNone/>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433CD144">
      <w:pPr>
        <w:spacing w:line="600" w:lineRule="exact"/>
        <w:ind w:firstLine="640" w:firstLineChars="200"/>
        <w:jc w:val="left"/>
        <w:rPr>
          <w:rFonts w:ascii="仿宋_GB2312" w:eastAsia="仿宋_GB2312"/>
          <w:sz w:val="32"/>
          <w:szCs w:val="32"/>
        </w:rPr>
      </w:pPr>
    </w:p>
    <w:p w14:paraId="7CA644C3">
      <w:pPr>
        <w:spacing w:line="600" w:lineRule="exact"/>
        <w:ind w:firstLine="640" w:firstLineChars="200"/>
        <w:jc w:val="left"/>
        <w:rPr>
          <w:rFonts w:ascii="仿宋_GB2312" w:eastAsia="仿宋_GB2312"/>
          <w:sz w:val="32"/>
          <w:szCs w:val="32"/>
        </w:rPr>
      </w:pPr>
    </w:p>
    <w:p w14:paraId="19476112">
      <w:pPr>
        <w:spacing w:line="600" w:lineRule="exact"/>
        <w:ind w:firstLine="640" w:firstLineChars="200"/>
        <w:jc w:val="left"/>
        <w:rPr>
          <w:rFonts w:ascii="仿宋_GB2312" w:eastAsia="仿宋_GB2312"/>
          <w:sz w:val="32"/>
          <w:szCs w:val="32"/>
        </w:rPr>
      </w:pPr>
    </w:p>
    <w:p w14:paraId="2A5B0C2F">
      <w:pPr>
        <w:spacing w:line="600" w:lineRule="exact"/>
        <w:ind w:firstLine="640" w:firstLineChars="200"/>
        <w:jc w:val="left"/>
        <w:rPr>
          <w:rFonts w:ascii="仿宋_GB2312" w:eastAsia="仿宋_GB2312"/>
          <w:sz w:val="32"/>
          <w:szCs w:val="32"/>
        </w:rPr>
      </w:pPr>
    </w:p>
    <w:p w14:paraId="1D465705">
      <w:pPr>
        <w:spacing w:line="600" w:lineRule="exact"/>
        <w:ind w:firstLine="640" w:firstLineChars="200"/>
        <w:jc w:val="left"/>
        <w:rPr>
          <w:rFonts w:ascii="仿宋_GB2312" w:eastAsia="仿宋_GB2312"/>
          <w:sz w:val="32"/>
          <w:szCs w:val="32"/>
        </w:rPr>
      </w:pPr>
    </w:p>
    <w:p w14:paraId="7BB070A0">
      <w:pPr>
        <w:spacing w:line="600" w:lineRule="exact"/>
        <w:ind w:firstLine="640" w:firstLineChars="200"/>
        <w:jc w:val="left"/>
        <w:rPr>
          <w:rFonts w:ascii="仿宋_GB2312" w:eastAsia="仿宋_GB2312"/>
          <w:sz w:val="32"/>
          <w:szCs w:val="32"/>
        </w:rPr>
      </w:pPr>
    </w:p>
    <w:p w14:paraId="0FE1830D">
      <w:pPr>
        <w:spacing w:line="600" w:lineRule="exact"/>
        <w:ind w:firstLine="640" w:firstLineChars="200"/>
        <w:jc w:val="left"/>
        <w:rPr>
          <w:rFonts w:ascii="仿宋_GB2312" w:eastAsia="仿宋_GB2312"/>
          <w:sz w:val="32"/>
          <w:szCs w:val="32"/>
        </w:rPr>
      </w:pPr>
    </w:p>
    <w:p w14:paraId="63257408">
      <w:pPr>
        <w:spacing w:line="600" w:lineRule="exact"/>
        <w:ind w:firstLine="640" w:firstLineChars="200"/>
        <w:jc w:val="left"/>
        <w:rPr>
          <w:rFonts w:ascii="仿宋_GB2312" w:eastAsia="仿宋_GB2312"/>
          <w:sz w:val="32"/>
          <w:szCs w:val="32"/>
        </w:rPr>
      </w:pPr>
    </w:p>
    <w:p w14:paraId="66B3FA6F">
      <w:pPr>
        <w:pStyle w:val="28"/>
        <w:numPr>
          <w:ilvl w:val="0"/>
          <w:numId w:val="2"/>
        </w:numPr>
        <w:spacing w:line="600" w:lineRule="exact"/>
        <w:ind w:firstLineChars="0"/>
        <w:outlineLvl w:val="1"/>
        <w:rPr>
          <w:rStyle w:val="30"/>
          <w:rFonts w:ascii="黑体" w:hAnsi="黑体" w:eastAsia="黑体"/>
          <w:b w:val="0"/>
        </w:rPr>
      </w:pPr>
      <w:bookmarkStart w:id="40" w:name="_Toc23704"/>
      <w:bookmarkStart w:id="41" w:name="_Toc15377206"/>
      <w:bookmarkStart w:id="42" w:name="_Toc5196"/>
      <w:bookmarkStart w:id="43" w:name="_Toc15396604"/>
      <w:r>
        <w:rPr>
          <w:rFonts w:hint="eastAsia" w:ascii="黑体" w:hAnsi="黑体" w:eastAsia="黑体"/>
          <w:sz w:val="32"/>
          <w:szCs w:val="32"/>
        </w:rPr>
        <w:t>收</w:t>
      </w:r>
      <w:r>
        <w:rPr>
          <w:rStyle w:val="30"/>
          <w:rFonts w:hint="eastAsia" w:ascii="黑体" w:hAnsi="黑体" w:eastAsia="黑体"/>
          <w:b w:val="0"/>
        </w:rPr>
        <w:t>入决算情况说明</w:t>
      </w:r>
      <w:bookmarkEnd w:id="40"/>
      <w:bookmarkEnd w:id="41"/>
      <w:bookmarkEnd w:id="42"/>
      <w:bookmarkEnd w:id="43"/>
    </w:p>
    <w:p w14:paraId="2F4095F5">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2023年度本年收入合计</w:t>
      </w:r>
      <w:r>
        <w:rPr>
          <w:sz w:val="32"/>
          <w:szCs w:val="32"/>
        </w:rPr>
        <w:t>14272.27</w:t>
      </w:r>
      <w:r>
        <w:rPr>
          <w:rFonts w:hint="eastAsia" w:ascii="仿宋" w:hAnsi="仿宋" w:eastAsia="仿宋"/>
          <w:sz w:val="32"/>
          <w:szCs w:val="32"/>
        </w:rPr>
        <w:t>万元，其中：一般公共预算财政拨款收入</w:t>
      </w:r>
      <w:r>
        <w:rPr>
          <w:sz w:val="32"/>
          <w:szCs w:val="32"/>
        </w:rPr>
        <w:t>14272.27</w:t>
      </w:r>
      <w:r>
        <w:rPr>
          <w:rFonts w:hint="eastAsia" w:ascii="仿宋" w:hAnsi="仿宋" w:eastAsia="仿宋"/>
          <w:sz w:val="32"/>
          <w:szCs w:val="32"/>
        </w:rPr>
        <w:t>万元，占</w:t>
      </w:r>
      <w:r>
        <w:rPr>
          <w:sz w:val="32"/>
          <w:szCs w:val="32"/>
        </w:rPr>
        <w:t>100</w:t>
      </w:r>
      <w:r>
        <w:rPr>
          <w:rFonts w:ascii="仿宋" w:hAnsi="仿宋" w:eastAsia="仿宋"/>
          <w:sz w:val="32"/>
          <w:szCs w:val="32"/>
        </w:rPr>
        <w:t>%</w:t>
      </w:r>
      <w:r>
        <w:rPr>
          <w:rFonts w:hint="eastAsia" w:ascii="仿宋" w:hAnsi="仿宋" w:eastAsia="仿宋"/>
          <w:sz w:val="32"/>
          <w:szCs w:val="32"/>
        </w:rPr>
        <w:t>；政府性基金预算财政拨款收入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；国有资本经营预算财政拨款收入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；上级补助收入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；事业收入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；附属单位上缴收入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；其他收入</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7CEB4FA7">
      <w:pPr>
        <w:spacing w:line="600" w:lineRule="exact"/>
        <w:ind w:firstLine="640" w:firstLineChars="200"/>
        <w:rPr>
          <w:rFonts w:ascii="仿宋" w:hAnsi="仿宋" w:eastAsia="仿宋"/>
          <w:sz w:val="32"/>
          <w:szCs w:val="32"/>
        </w:rPr>
      </w:pPr>
      <w:r>
        <w:rPr>
          <w:rFonts w:hint="eastAsia" w:ascii="仿宋" w:hAnsi="仿宋" w:eastAsia="仿宋"/>
          <w:sz w:val="32"/>
          <w:szCs w:val="32"/>
        </w:rPr>
        <w:t>（图2：收入决算结构图）（饼状图）</w:t>
      </w:r>
    </w:p>
    <w:p w14:paraId="06181036">
      <w:pPr>
        <w:spacing w:line="600" w:lineRule="exact"/>
        <w:ind w:firstLine="420" w:firstLineChars="200"/>
        <w:rPr>
          <w:rFonts w:ascii="仿宋_GB2312" w:eastAsia="仿宋_GB2312"/>
          <w:sz w:val="32"/>
          <w:szCs w:val="32"/>
        </w:rPr>
      </w:pPr>
      <w:r>
        <w:drawing>
          <wp:anchor distT="0" distB="0" distL="114300" distR="114300" simplePos="0" relativeHeight="251660288" behindDoc="0" locked="0" layoutInCell="1" allowOverlap="1">
            <wp:simplePos x="0" y="0"/>
            <wp:positionH relativeFrom="column">
              <wp:posOffset>690880</wp:posOffset>
            </wp:positionH>
            <wp:positionV relativeFrom="paragraph">
              <wp:posOffset>118745</wp:posOffset>
            </wp:positionV>
            <wp:extent cx="3452495" cy="2380615"/>
            <wp:effectExtent l="5080" t="4445" r="17145" b="7620"/>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5956547">
      <w:pPr>
        <w:spacing w:line="600" w:lineRule="exact"/>
        <w:ind w:firstLine="640" w:firstLineChars="200"/>
        <w:rPr>
          <w:rFonts w:ascii="仿宋_GB2312" w:eastAsia="仿宋_GB2312"/>
          <w:sz w:val="32"/>
          <w:szCs w:val="32"/>
        </w:rPr>
      </w:pPr>
    </w:p>
    <w:p w14:paraId="3BA89E46">
      <w:pPr>
        <w:spacing w:line="600" w:lineRule="exact"/>
        <w:ind w:firstLine="640" w:firstLineChars="200"/>
        <w:rPr>
          <w:rFonts w:ascii="仿宋_GB2312" w:eastAsia="仿宋_GB2312"/>
          <w:sz w:val="32"/>
          <w:szCs w:val="32"/>
        </w:rPr>
      </w:pPr>
    </w:p>
    <w:p w14:paraId="593BFBB6">
      <w:pPr>
        <w:spacing w:line="600" w:lineRule="exact"/>
        <w:ind w:firstLine="640" w:firstLineChars="200"/>
        <w:rPr>
          <w:rFonts w:ascii="仿宋_GB2312" w:eastAsia="仿宋_GB2312"/>
          <w:sz w:val="32"/>
          <w:szCs w:val="32"/>
        </w:rPr>
      </w:pPr>
    </w:p>
    <w:p w14:paraId="15A547AA">
      <w:pPr>
        <w:spacing w:line="600" w:lineRule="exact"/>
        <w:ind w:firstLine="640" w:firstLineChars="200"/>
        <w:rPr>
          <w:rFonts w:ascii="仿宋_GB2312" w:eastAsia="仿宋_GB2312"/>
          <w:sz w:val="32"/>
          <w:szCs w:val="32"/>
        </w:rPr>
      </w:pPr>
    </w:p>
    <w:p w14:paraId="424BAA1A">
      <w:pPr>
        <w:spacing w:line="600" w:lineRule="exact"/>
        <w:ind w:firstLine="640" w:firstLineChars="200"/>
        <w:rPr>
          <w:rFonts w:ascii="仿宋_GB2312" w:eastAsia="仿宋_GB2312"/>
          <w:sz w:val="32"/>
          <w:szCs w:val="32"/>
        </w:rPr>
      </w:pPr>
    </w:p>
    <w:p w14:paraId="67CD2171">
      <w:pPr>
        <w:spacing w:line="600" w:lineRule="exact"/>
        <w:ind w:firstLine="640" w:firstLineChars="200"/>
        <w:rPr>
          <w:rFonts w:ascii="仿宋_GB2312" w:eastAsia="仿宋_GB2312"/>
          <w:sz w:val="32"/>
          <w:szCs w:val="32"/>
        </w:rPr>
      </w:pPr>
    </w:p>
    <w:p w14:paraId="09A4DAF7">
      <w:pPr>
        <w:pStyle w:val="28"/>
        <w:numPr>
          <w:ilvl w:val="0"/>
          <w:numId w:val="2"/>
        </w:numPr>
        <w:spacing w:line="600" w:lineRule="exact"/>
        <w:ind w:firstLineChars="0"/>
        <w:outlineLvl w:val="1"/>
        <w:rPr>
          <w:rStyle w:val="30"/>
          <w:rFonts w:ascii="黑体" w:hAnsi="黑体" w:eastAsia="黑体"/>
          <w:b w:val="0"/>
        </w:rPr>
      </w:pPr>
      <w:bookmarkStart w:id="44" w:name="_Toc6071"/>
      <w:bookmarkStart w:id="45" w:name="_Toc15377207"/>
      <w:bookmarkStart w:id="46" w:name="_Toc15396605"/>
      <w:bookmarkStart w:id="47" w:name="_Toc26112"/>
      <w:r>
        <w:rPr>
          <w:rFonts w:hint="eastAsia" w:ascii="黑体" w:hAnsi="黑体" w:eastAsia="黑体"/>
          <w:sz w:val="32"/>
          <w:szCs w:val="32"/>
        </w:rPr>
        <w:t>支</w:t>
      </w:r>
      <w:r>
        <w:rPr>
          <w:rStyle w:val="30"/>
          <w:rFonts w:hint="eastAsia" w:ascii="黑体" w:hAnsi="黑体" w:eastAsia="黑体"/>
          <w:b w:val="0"/>
        </w:rPr>
        <w:t>出决算情况说明</w:t>
      </w:r>
      <w:bookmarkEnd w:id="44"/>
      <w:bookmarkEnd w:id="45"/>
      <w:bookmarkEnd w:id="46"/>
      <w:bookmarkEnd w:id="47"/>
    </w:p>
    <w:p w14:paraId="7340A740">
      <w:pPr>
        <w:spacing w:line="600" w:lineRule="exact"/>
        <w:ind w:firstLine="640" w:firstLineChars="200"/>
        <w:jc w:val="left"/>
        <w:rPr>
          <w:rFonts w:ascii="仿宋" w:hAnsi="仿宋" w:eastAsia="仿宋"/>
          <w:sz w:val="32"/>
          <w:szCs w:val="32"/>
        </w:rPr>
      </w:pPr>
      <w:r>
        <w:rPr>
          <w:rFonts w:hint="eastAsia" w:ascii="仿宋" w:hAnsi="仿宋" w:eastAsia="仿宋"/>
          <w:sz w:val="32"/>
          <w:szCs w:val="32"/>
        </w:rPr>
        <w:t>2023年度本年支出合计</w:t>
      </w:r>
      <w:r>
        <w:rPr>
          <w:sz w:val="32"/>
          <w:szCs w:val="32"/>
        </w:rPr>
        <w:t>14272.27</w:t>
      </w:r>
      <w:r>
        <w:rPr>
          <w:rFonts w:hint="eastAsia" w:ascii="仿宋" w:hAnsi="仿宋" w:eastAsia="仿宋"/>
          <w:sz w:val="32"/>
          <w:szCs w:val="32"/>
        </w:rPr>
        <w:t>万元，其中：基本支出</w:t>
      </w:r>
      <w:r>
        <w:rPr>
          <w:sz w:val="32"/>
          <w:szCs w:val="32"/>
        </w:rPr>
        <w:t>2265.07</w:t>
      </w:r>
      <w:r>
        <w:rPr>
          <w:rFonts w:hint="eastAsia" w:ascii="仿宋" w:hAnsi="仿宋" w:eastAsia="仿宋"/>
          <w:sz w:val="32"/>
          <w:szCs w:val="32"/>
        </w:rPr>
        <w:t>万元，占</w:t>
      </w:r>
      <w:r>
        <w:rPr>
          <w:sz w:val="32"/>
          <w:szCs w:val="32"/>
        </w:rPr>
        <w:t>15.87</w:t>
      </w:r>
      <w:r>
        <w:rPr>
          <w:rFonts w:ascii="仿宋" w:hAnsi="仿宋" w:eastAsia="仿宋"/>
          <w:sz w:val="32"/>
          <w:szCs w:val="32"/>
        </w:rPr>
        <w:t>%</w:t>
      </w:r>
      <w:r>
        <w:rPr>
          <w:rFonts w:hint="eastAsia" w:ascii="仿宋" w:hAnsi="仿宋" w:eastAsia="仿宋"/>
          <w:sz w:val="32"/>
          <w:szCs w:val="32"/>
        </w:rPr>
        <w:t>；项目支出</w:t>
      </w:r>
      <w:r>
        <w:rPr>
          <w:sz w:val="32"/>
          <w:szCs w:val="32"/>
        </w:rPr>
        <w:t>12007.2</w:t>
      </w:r>
      <w:r>
        <w:rPr>
          <w:rFonts w:hint="eastAsia" w:ascii="仿宋" w:hAnsi="仿宋" w:eastAsia="仿宋"/>
          <w:sz w:val="32"/>
          <w:szCs w:val="32"/>
        </w:rPr>
        <w:t>万元，占</w:t>
      </w:r>
      <w:r>
        <w:rPr>
          <w:sz w:val="32"/>
          <w:szCs w:val="32"/>
        </w:rPr>
        <w:t>84.1</w:t>
      </w:r>
      <w:r>
        <w:rPr>
          <w:rFonts w:hint="eastAsia"/>
          <w:sz w:val="32"/>
          <w:szCs w:val="32"/>
          <w:lang w:val="en-US" w:eastAsia="zh-CN"/>
        </w:rPr>
        <w:t>3</w:t>
      </w:r>
      <w:r>
        <w:rPr>
          <w:rFonts w:ascii="仿宋" w:hAnsi="仿宋" w:eastAsia="仿宋"/>
          <w:sz w:val="32"/>
          <w:szCs w:val="32"/>
        </w:rPr>
        <w:t>%</w:t>
      </w:r>
      <w:r>
        <w:rPr>
          <w:rFonts w:hint="eastAsia" w:ascii="仿宋" w:hAnsi="仿宋" w:eastAsia="仿宋"/>
          <w:sz w:val="32"/>
          <w:szCs w:val="32"/>
        </w:rPr>
        <w:t>；上缴上级支出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；经营支出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；对附属单位补助支出</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w:t>
      </w:r>
    </w:p>
    <w:p w14:paraId="7C85B872">
      <w:pPr>
        <w:spacing w:line="600" w:lineRule="exact"/>
        <w:ind w:firstLine="640" w:firstLineChars="200"/>
        <w:rPr>
          <w:rFonts w:ascii="仿宋" w:hAnsi="仿宋" w:eastAsia="仿宋"/>
          <w:sz w:val="32"/>
          <w:szCs w:val="32"/>
        </w:rPr>
      </w:pPr>
      <w:r>
        <w:rPr>
          <w:rFonts w:hint="eastAsia" w:ascii="仿宋" w:hAnsi="仿宋" w:eastAsia="仿宋"/>
          <w:sz w:val="32"/>
          <w:szCs w:val="32"/>
        </w:rPr>
        <w:t>（图3：支出决算结构图）（饼状图）</w:t>
      </w:r>
    </w:p>
    <w:p w14:paraId="35C659F9">
      <w:pPr>
        <w:spacing w:line="600" w:lineRule="exact"/>
        <w:ind w:firstLine="420" w:firstLineChars="200"/>
        <w:rPr>
          <w:rFonts w:ascii="仿宋_GB2312" w:eastAsia="仿宋_GB2312"/>
          <w:sz w:val="32"/>
          <w:szCs w:val="32"/>
        </w:rPr>
      </w:pPr>
      <w:r>
        <w:drawing>
          <wp:anchor distT="0" distB="0" distL="114300" distR="114300" simplePos="0" relativeHeight="251661312" behindDoc="0" locked="0" layoutInCell="1" allowOverlap="1">
            <wp:simplePos x="0" y="0"/>
            <wp:positionH relativeFrom="column">
              <wp:posOffset>598805</wp:posOffset>
            </wp:positionH>
            <wp:positionV relativeFrom="paragraph">
              <wp:posOffset>50165</wp:posOffset>
            </wp:positionV>
            <wp:extent cx="3768725" cy="2976245"/>
            <wp:effectExtent l="4445" t="4445" r="6350" b="6350"/>
            <wp:wrapNone/>
            <wp:docPr id="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720B167A">
      <w:pPr>
        <w:spacing w:line="600" w:lineRule="exact"/>
        <w:ind w:firstLine="640" w:firstLineChars="200"/>
        <w:rPr>
          <w:rFonts w:ascii="仿宋_GB2312" w:eastAsia="仿宋_GB2312"/>
          <w:sz w:val="32"/>
          <w:szCs w:val="32"/>
        </w:rPr>
      </w:pPr>
    </w:p>
    <w:p w14:paraId="07805184">
      <w:pPr>
        <w:spacing w:line="600" w:lineRule="exact"/>
        <w:ind w:firstLine="640" w:firstLineChars="200"/>
        <w:rPr>
          <w:rFonts w:ascii="仿宋_GB2312" w:eastAsia="仿宋_GB2312"/>
          <w:sz w:val="32"/>
          <w:szCs w:val="32"/>
        </w:rPr>
      </w:pPr>
    </w:p>
    <w:p w14:paraId="4E48FF34">
      <w:pPr>
        <w:spacing w:line="600" w:lineRule="exact"/>
        <w:ind w:firstLine="640" w:firstLineChars="200"/>
        <w:rPr>
          <w:rFonts w:ascii="仿宋_GB2312" w:eastAsia="仿宋_GB2312"/>
          <w:sz w:val="32"/>
          <w:szCs w:val="32"/>
        </w:rPr>
      </w:pPr>
    </w:p>
    <w:p w14:paraId="756896A8">
      <w:pPr>
        <w:spacing w:line="600" w:lineRule="exact"/>
        <w:ind w:firstLine="640" w:firstLineChars="200"/>
        <w:rPr>
          <w:rFonts w:ascii="仿宋_GB2312" w:eastAsia="仿宋_GB2312"/>
          <w:sz w:val="32"/>
          <w:szCs w:val="32"/>
        </w:rPr>
      </w:pPr>
    </w:p>
    <w:p w14:paraId="7B805D88">
      <w:pPr>
        <w:spacing w:line="600" w:lineRule="exact"/>
        <w:ind w:firstLine="640" w:firstLineChars="200"/>
        <w:rPr>
          <w:rFonts w:ascii="仿宋_GB2312" w:eastAsia="仿宋_GB2312"/>
          <w:sz w:val="32"/>
          <w:szCs w:val="32"/>
        </w:rPr>
      </w:pPr>
    </w:p>
    <w:p w14:paraId="7D567412">
      <w:pPr>
        <w:spacing w:line="600" w:lineRule="exact"/>
        <w:ind w:firstLine="640" w:firstLineChars="200"/>
        <w:rPr>
          <w:rFonts w:ascii="仿宋_GB2312" w:eastAsia="仿宋_GB2312"/>
          <w:sz w:val="32"/>
          <w:szCs w:val="32"/>
        </w:rPr>
      </w:pPr>
    </w:p>
    <w:p w14:paraId="18C08956">
      <w:pPr>
        <w:spacing w:line="600" w:lineRule="exact"/>
        <w:ind w:firstLine="640" w:firstLineChars="200"/>
        <w:rPr>
          <w:rFonts w:ascii="仿宋_GB2312" w:eastAsia="仿宋_GB2312"/>
          <w:sz w:val="32"/>
          <w:szCs w:val="32"/>
        </w:rPr>
      </w:pPr>
    </w:p>
    <w:p w14:paraId="21ED9AF1">
      <w:pPr>
        <w:spacing w:line="600" w:lineRule="exact"/>
        <w:ind w:firstLine="640" w:firstLineChars="200"/>
        <w:outlineLvl w:val="1"/>
        <w:rPr>
          <w:rStyle w:val="30"/>
          <w:rFonts w:ascii="黑体" w:hAnsi="黑体" w:eastAsia="黑体"/>
          <w:b w:val="0"/>
        </w:rPr>
      </w:pPr>
      <w:bookmarkStart w:id="48" w:name="_Toc15377208"/>
      <w:bookmarkStart w:id="49" w:name="_Toc29901"/>
      <w:bookmarkStart w:id="50" w:name="_Toc12175"/>
      <w:bookmarkStart w:id="51" w:name="_Toc15396606"/>
      <w:r>
        <w:rPr>
          <w:rFonts w:hint="eastAsia" w:ascii="黑体" w:hAnsi="黑体" w:eastAsia="黑体"/>
          <w:sz w:val="32"/>
          <w:szCs w:val="32"/>
        </w:rPr>
        <w:t>四、财</w:t>
      </w:r>
      <w:r>
        <w:rPr>
          <w:rStyle w:val="30"/>
          <w:rFonts w:hint="eastAsia" w:ascii="黑体" w:hAnsi="黑体" w:eastAsia="黑体"/>
          <w:b w:val="0"/>
        </w:rPr>
        <w:t>政拨款收入支出决算总体情况说明</w:t>
      </w:r>
      <w:bookmarkEnd w:id="48"/>
      <w:bookmarkEnd w:id="49"/>
      <w:bookmarkEnd w:id="50"/>
      <w:bookmarkEnd w:id="51"/>
    </w:p>
    <w:p w14:paraId="5CF20499">
      <w:pPr>
        <w:spacing w:line="600" w:lineRule="exact"/>
        <w:ind w:firstLine="640"/>
        <w:rPr>
          <w:rFonts w:hint="eastAsia" w:ascii="仿宋" w:hAnsi="仿宋" w:eastAsia="仿宋"/>
          <w:sz w:val="32"/>
          <w:szCs w:val="32"/>
          <w:lang w:eastAsia="zh-CN"/>
        </w:rPr>
      </w:pPr>
      <w:r>
        <w:rPr>
          <w:rFonts w:hint="eastAsia" w:ascii="仿宋" w:hAnsi="仿宋" w:eastAsia="仿宋"/>
          <w:sz w:val="32"/>
          <w:szCs w:val="32"/>
        </w:rPr>
        <w:t>2023年度财政拨款收、支总计均为</w:t>
      </w:r>
      <w:r>
        <w:rPr>
          <w:sz w:val="32"/>
          <w:szCs w:val="32"/>
        </w:rPr>
        <w:t>14272.27</w:t>
      </w:r>
      <w:r>
        <w:rPr>
          <w:rFonts w:hint="eastAsia" w:ascii="仿宋" w:hAnsi="仿宋" w:eastAsia="仿宋"/>
          <w:sz w:val="32"/>
          <w:szCs w:val="32"/>
        </w:rPr>
        <w:t>万元。与2022年度相比，财政拨款收、支总计各增加</w:t>
      </w:r>
      <w:r>
        <w:rPr>
          <w:rFonts w:hint="eastAsia" w:ascii="仿宋" w:hAnsi="仿宋" w:eastAsia="仿宋"/>
          <w:sz w:val="32"/>
          <w:szCs w:val="32"/>
          <w:lang w:val="en-US" w:eastAsia="zh-CN"/>
        </w:rPr>
        <w:t>493.38</w:t>
      </w:r>
      <w:r>
        <w:rPr>
          <w:rFonts w:hint="eastAsia" w:ascii="仿宋" w:hAnsi="仿宋" w:eastAsia="仿宋"/>
          <w:sz w:val="32"/>
          <w:szCs w:val="32"/>
        </w:rPr>
        <w:t>万元，增长</w:t>
      </w:r>
      <w:r>
        <w:rPr>
          <w:rFonts w:hint="eastAsia" w:ascii="仿宋" w:hAnsi="仿宋" w:eastAsia="仿宋"/>
          <w:sz w:val="32"/>
          <w:szCs w:val="32"/>
          <w:lang w:val="en-US" w:eastAsia="zh-CN"/>
        </w:rPr>
        <w:t>3.58</w:t>
      </w:r>
      <w:r>
        <w:rPr>
          <w:rFonts w:ascii="仿宋" w:hAnsi="仿宋" w:eastAsia="仿宋"/>
          <w:sz w:val="32"/>
          <w:szCs w:val="32"/>
        </w:rPr>
        <w:t>%</w:t>
      </w:r>
      <w:r>
        <w:rPr>
          <w:rFonts w:hint="eastAsia" w:ascii="仿宋" w:hAnsi="仿宋" w:eastAsia="仿宋"/>
          <w:sz w:val="32"/>
          <w:szCs w:val="32"/>
        </w:rPr>
        <w:t>。主要变动原因是本年度项目资金增加</w:t>
      </w:r>
      <w:r>
        <w:rPr>
          <w:rFonts w:hint="eastAsia" w:ascii="仿宋" w:hAnsi="仿宋" w:eastAsia="仿宋"/>
          <w:sz w:val="32"/>
          <w:szCs w:val="32"/>
          <w:lang w:eastAsia="zh-CN"/>
        </w:rPr>
        <w:t>。</w:t>
      </w:r>
    </w:p>
    <w:p w14:paraId="4375C640">
      <w:pPr>
        <w:spacing w:line="600" w:lineRule="exact"/>
        <w:ind w:firstLine="640" w:firstLineChars="200"/>
        <w:rPr>
          <w:rFonts w:ascii="仿宋" w:hAnsi="仿宋" w:eastAsia="仿宋"/>
          <w:sz w:val="32"/>
          <w:szCs w:val="32"/>
        </w:rPr>
      </w:pPr>
      <w:r>
        <w:rPr>
          <w:rFonts w:hint="eastAsia" w:ascii="仿宋" w:hAnsi="仿宋" w:eastAsia="仿宋"/>
          <w:sz w:val="32"/>
          <w:szCs w:val="32"/>
        </w:rPr>
        <w:t>（图4：财政拨款收、支决算总计变动情况）（柱状图）</w:t>
      </w:r>
    </w:p>
    <w:p w14:paraId="7FF86078">
      <w:pPr>
        <w:spacing w:line="600" w:lineRule="exact"/>
        <w:ind w:firstLine="640"/>
        <w:rPr>
          <w:rFonts w:ascii="仿宋" w:hAnsi="仿宋" w:eastAsia="仿宋"/>
          <w:b/>
          <w:sz w:val="32"/>
          <w:szCs w:val="32"/>
        </w:rPr>
      </w:pPr>
      <w:r>
        <w:drawing>
          <wp:anchor distT="0" distB="0" distL="114300" distR="114300" simplePos="0" relativeHeight="251662336" behindDoc="0" locked="0" layoutInCell="1" allowOverlap="1">
            <wp:simplePos x="0" y="0"/>
            <wp:positionH relativeFrom="column">
              <wp:posOffset>517525</wp:posOffset>
            </wp:positionH>
            <wp:positionV relativeFrom="paragraph">
              <wp:posOffset>58420</wp:posOffset>
            </wp:positionV>
            <wp:extent cx="4335780" cy="3251835"/>
            <wp:effectExtent l="4445" t="5080" r="18415" b="4445"/>
            <wp:wrapNone/>
            <wp:docPr id="2"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57E2A85">
      <w:pPr>
        <w:spacing w:line="600" w:lineRule="exact"/>
        <w:ind w:firstLine="640"/>
        <w:rPr>
          <w:rFonts w:ascii="仿宋" w:hAnsi="仿宋" w:eastAsia="仿宋"/>
          <w:b/>
          <w:sz w:val="32"/>
          <w:szCs w:val="32"/>
        </w:rPr>
      </w:pPr>
    </w:p>
    <w:p w14:paraId="3774475C">
      <w:pPr>
        <w:spacing w:line="600" w:lineRule="exact"/>
        <w:ind w:firstLine="640"/>
        <w:rPr>
          <w:rFonts w:ascii="仿宋" w:hAnsi="仿宋" w:eastAsia="仿宋"/>
          <w:b/>
          <w:sz w:val="32"/>
          <w:szCs w:val="32"/>
        </w:rPr>
      </w:pPr>
    </w:p>
    <w:p w14:paraId="5B733FFE">
      <w:pPr>
        <w:spacing w:line="600" w:lineRule="exact"/>
        <w:ind w:firstLine="640"/>
        <w:rPr>
          <w:rFonts w:ascii="仿宋" w:hAnsi="仿宋" w:eastAsia="仿宋"/>
          <w:b/>
          <w:sz w:val="32"/>
          <w:szCs w:val="32"/>
        </w:rPr>
      </w:pPr>
    </w:p>
    <w:p w14:paraId="52BF304E">
      <w:pPr>
        <w:spacing w:line="600" w:lineRule="exact"/>
        <w:ind w:firstLine="640"/>
        <w:rPr>
          <w:rFonts w:ascii="仿宋" w:hAnsi="仿宋" w:eastAsia="仿宋"/>
          <w:b/>
          <w:sz w:val="32"/>
          <w:szCs w:val="32"/>
        </w:rPr>
      </w:pPr>
    </w:p>
    <w:p w14:paraId="412C325C">
      <w:pPr>
        <w:spacing w:line="600" w:lineRule="exact"/>
        <w:ind w:firstLine="640"/>
        <w:rPr>
          <w:rFonts w:ascii="仿宋" w:hAnsi="仿宋" w:eastAsia="仿宋"/>
          <w:b/>
          <w:sz w:val="32"/>
          <w:szCs w:val="32"/>
        </w:rPr>
      </w:pPr>
    </w:p>
    <w:p w14:paraId="0E3B08DF">
      <w:pPr>
        <w:spacing w:line="600" w:lineRule="exact"/>
        <w:ind w:firstLine="640"/>
        <w:rPr>
          <w:rFonts w:ascii="仿宋" w:hAnsi="仿宋" w:eastAsia="仿宋"/>
          <w:b/>
          <w:sz w:val="32"/>
          <w:szCs w:val="32"/>
        </w:rPr>
      </w:pPr>
    </w:p>
    <w:p w14:paraId="5AB40E49">
      <w:pPr>
        <w:spacing w:line="600" w:lineRule="exact"/>
        <w:ind w:firstLine="640"/>
        <w:rPr>
          <w:rFonts w:ascii="仿宋" w:hAnsi="仿宋" w:eastAsia="仿宋"/>
          <w:b/>
          <w:sz w:val="32"/>
          <w:szCs w:val="32"/>
        </w:rPr>
      </w:pPr>
    </w:p>
    <w:p w14:paraId="3C86B4CE">
      <w:pPr>
        <w:spacing w:line="600" w:lineRule="exact"/>
        <w:ind w:firstLine="640"/>
        <w:rPr>
          <w:rFonts w:ascii="仿宋" w:hAnsi="仿宋" w:eastAsia="仿宋"/>
          <w:b/>
          <w:sz w:val="32"/>
          <w:szCs w:val="32"/>
        </w:rPr>
      </w:pPr>
    </w:p>
    <w:p w14:paraId="078AAC72">
      <w:pPr>
        <w:spacing w:line="600" w:lineRule="exact"/>
        <w:ind w:firstLine="640" w:firstLineChars="200"/>
        <w:outlineLvl w:val="1"/>
        <w:rPr>
          <w:rStyle w:val="30"/>
          <w:rFonts w:ascii="黑体" w:hAnsi="黑体" w:eastAsia="黑体"/>
          <w:b w:val="0"/>
        </w:rPr>
      </w:pPr>
      <w:bookmarkStart w:id="52" w:name="_Toc15396607"/>
      <w:bookmarkStart w:id="53" w:name="_Toc15377209"/>
      <w:bookmarkStart w:id="54" w:name="_Toc5615"/>
      <w:bookmarkStart w:id="55" w:name="_Toc17676"/>
      <w:r>
        <w:rPr>
          <w:rFonts w:hint="eastAsia" w:ascii="黑体" w:hAnsi="黑体" w:eastAsia="黑体"/>
          <w:sz w:val="32"/>
          <w:szCs w:val="32"/>
        </w:rPr>
        <w:t>五、</w:t>
      </w:r>
      <w:r>
        <w:rPr>
          <w:rFonts w:hint="eastAsia" w:ascii="黑体" w:hAnsi="黑体" w:eastAsia="黑体"/>
          <w:b/>
          <w:sz w:val="32"/>
          <w:szCs w:val="32"/>
        </w:rPr>
        <w:t>一</w:t>
      </w:r>
      <w:r>
        <w:rPr>
          <w:rStyle w:val="30"/>
          <w:rFonts w:hint="eastAsia" w:ascii="黑体" w:hAnsi="黑体" w:eastAsia="黑体"/>
          <w:b w:val="0"/>
        </w:rPr>
        <w:t>般公共预算财政拨款支出决算情况说明</w:t>
      </w:r>
      <w:bookmarkEnd w:id="52"/>
      <w:bookmarkEnd w:id="53"/>
      <w:bookmarkEnd w:id="54"/>
      <w:bookmarkEnd w:id="55"/>
    </w:p>
    <w:p w14:paraId="3F334040">
      <w:pPr>
        <w:spacing w:line="600" w:lineRule="exact"/>
        <w:ind w:firstLine="643" w:firstLineChars="200"/>
        <w:outlineLvl w:val="2"/>
        <w:rPr>
          <w:rFonts w:ascii="仿宋" w:hAnsi="仿宋" w:eastAsia="仿宋"/>
          <w:b/>
          <w:sz w:val="32"/>
          <w:szCs w:val="32"/>
        </w:rPr>
      </w:pPr>
      <w:bookmarkStart w:id="56" w:name="_Toc15377210"/>
      <w:r>
        <w:rPr>
          <w:rFonts w:hint="eastAsia" w:ascii="仿宋" w:hAnsi="仿宋" w:eastAsia="仿宋"/>
          <w:b/>
          <w:sz w:val="32"/>
          <w:szCs w:val="32"/>
        </w:rPr>
        <w:t>（一）一般公共预算财政拨款支出决算总体情况</w:t>
      </w:r>
      <w:bookmarkEnd w:id="56"/>
    </w:p>
    <w:p w14:paraId="5EB3705B">
      <w:pPr>
        <w:spacing w:line="600" w:lineRule="exact"/>
        <w:ind w:firstLine="640" w:firstLineChars="200"/>
        <w:rPr>
          <w:rFonts w:hint="eastAsia" w:ascii="仿宋" w:hAnsi="仿宋" w:eastAsia="仿宋"/>
          <w:sz w:val="32"/>
          <w:szCs w:val="32"/>
          <w:lang w:eastAsia="zh-CN"/>
        </w:rPr>
      </w:pPr>
      <w:r>
        <w:rPr>
          <w:rFonts w:hint="eastAsia" w:ascii="仿宋" w:hAnsi="仿宋" w:eastAsia="仿宋"/>
          <w:sz w:val="32"/>
          <w:szCs w:val="32"/>
        </w:rPr>
        <w:t>2023年度一般公共预算财政拨款支出</w:t>
      </w:r>
      <w:r>
        <w:rPr>
          <w:sz w:val="32"/>
          <w:szCs w:val="32"/>
        </w:rPr>
        <w:t>14272.27</w:t>
      </w:r>
      <w:r>
        <w:rPr>
          <w:rFonts w:hint="eastAsia" w:ascii="仿宋" w:hAnsi="仿宋" w:eastAsia="仿宋"/>
          <w:sz w:val="32"/>
          <w:szCs w:val="32"/>
        </w:rPr>
        <w:t>万元，占本年支出合计的</w:t>
      </w:r>
      <w:r>
        <w:rPr>
          <w:sz w:val="32"/>
          <w:szCs w:val="32"/>
        </w:rPr>
        <w:t>100</w:t>
      </w:r>
      <w:r>
        <w:rPr>
          <w:rFonts w:ascii="仿宋" w:hAnsi="仿宋" w:eastAsia="仿宋"/>
          <w:sz w:val="32"/>
          <w:szCs w:val="32"/>
        </w:rPr>
        <w:t>%</w:t>
      </w:r>
      <w:r>
        <w:rPr>
          <w:rFonts w:hint="eastAsia" w:ascii="仿宋" w:hAnsi="仿宋" w:eastAsia="仿宋"/>
          <w:sz w:val="32"/>
          <w:szCs w:val="32"/>
        </w:rPr>
        <w:t>。与2022年度相比，一般公共预算财政拨款支</w:t>
      </w:r>
      <w:r>
        <w:rPr>
          <w:rFonts w:hint="eastAsia" w:ascii="仿宋" w:hAnsi="仿宋" w:eastAsia="仿宋"/>
          <w:sz w:val="32"/>
          <w:szCs w:val="32"/>
          <w:lang w:val="en-US" w:eastAsia="zh-CN"/>
        </w:rPr>
        <w:t>出</w:t>
      </w:r>
      <w:r>
        <w:rPr>
          <w:rFonts w:hint="eastAsia" w:ascii="仿宋" w:hAnsi="仿宋" w:eastAsia="仿宋"/>
          <w:sz w:val="32"/>
          <w:szCs w:val="32"/>
        </w:rPr>
        <w:t>总计增加</w:t>
      </w:r>
      <w:r>
        <w:rPr>
          <w:rFonts w:hint="eastAsia" w:ascii="仿宋" w:hAnsi="仿宋" w:eastAsia="仿宋"/>
          <w:sz w:val="32"/>
          <w:szCs w:val="32"/>
          <w:lang w:val="en-US" w:eastAsia="zh-CN"/>
        </w:rPr>
        <w:t>493.38</w:t>
      </w:r>
      <w:r>
        <w:rPr>
          <w:rFonts w:hint="eastAsia" w:ascii="仿宋" w:hAnsi="仿宋" w:eastAsia="仿宋"/>
          <w:sz w:val="32"/>
          <w:szCs w:val="32"/>
        </w:rPr>
        <w:t>万元，增长</w:t>
      </w:r>
      <w:r>
        <w:rPr>
          <w:rFonts w:hint="eastAsia" w:ascii="仿宋" w:hAnsi="仿宋" w:eastAsia="仿宋"/>
          <w:sz w:val="32"/>
          <w:szCs w:val="32"/>
          <w:lang w:val="en-US" w:eastAsia="zh-CN"/>
        </w:rPr>
        <w:t>3.58</w:t>
      </w:r>
      <w:r>
        <w:rPr>
          <w:rFonts w:ascii="仿宋" w:hAnsi="仿宋" w:eastAsia="仿宋"/>
          <w:sz w:val="32"/>
          <w:szCs w:val="32"/>
        </w:rPr>
        <w:t>%</w:t>
      </w:r>
      <w:r>
        <w:rPr>
          <w:rFonts w:hint="eastAsia" w:ascii="仿宋" w:hAnsi="仿宋" w:eastAsia="仿宋"/>
          <w:sz w:val="32"/>
          <w:szCs w:val="32"/>
        </w:rPr>
        <w:t>。主要变动原因是本年度项目资金增加</w:t>
      </w:r>
      <w:r>
        <w:rPr>
          <w:rFonts w:hint="eastAsia" w:ascii="仿宋" w:hAnsi="仿宋" w:eastAsia="仿宋"/>
          <w:sz w:val="32"/>
          <w:szCs w:val="32"/>
          <w:lang w:eastAsia="zh-CN"/>
        </w:rPr>
        <w:t>。</w:t>
      </w:r>
    </w:p>
    <w:p w14:paraId="730D0BA5">
      <w:pPr>
        <w:spacing w:line="600" w:lineRule="exact"/>
        <w:ind w:firstLine="640" w:firstLineChars="200"/>
        <w:rPr>
          <w:rFonts w:ascii="仿宋" w:hAnsi="仿宋" w:eastAsia="仿宋"/>
          <w:sz w:val="32"/>
          <w:szCs w:val="32"/>
        </w:rPr>
      </w:pPr>
      <w:r>
        <w:rPr>
          <w:rFonts w:hint="eastAsia" w:ascii="仿宋" w:hAnsi="仿宋" w:eastAsia="仿宋"/>
          <w:sz w:val="32"/>
          <w:szCs w:val="32"/>
        </w:rPr>
        <w:t>（图5：一般公共预算财政拨款支出决算变动情况）（柱状图）</w:t>
      </w:r>
    </w:p>
    <w:p w14:paraId="15931027">
      <w:pPr>
        <w:spacing w:line="600" w:lineRule="exact"/>
        <w:ind w:firstLine="640" w:firstLineChars="200"/>
        <w:rPr>
          <w:rFonts w:ascii="仿宋" w:hAnsi="仿宋" w:eastAsia="仿宋"/>
          <w:sz w:val="32"/>
          <w:szCs w:val="32"/>
        </w:rPr>
      </w:pPr>
    </w:p>
    <w:p w14:paraId="314CD25E">
      <w:pPr>
        <w:spacing w:line="600" w:lineRule="exact"/>
        <w:ind w:firstLine="640" w:firstLineChars="200"/>
        <w:rPr>
          <w:rFonts w:ascii="仿宋" w:hAnsi="仿宋" w:eastAsia="仿宋"/>
          <w:sz w:val="32"/>
          <w:szCs w:val="32"/>
        </w:rPr>
      </w:pPr>
    </w:p>
    <w:p w14:paraId="5E6C9C5A">
      <w:pPr>
        <w:spacing w:line="600" w:lineRule="exact"/>
        <w:ind w:firstLine="420" w:firstLineChars="200"/>
        <w:rPr>
          <w:rFonts w:ascii="仿宋" w:hAnsi="仿宋" w:eastAsia="仿宋"/>
          <w:sz w:val="32"/>
          <w:szCs w:val="32"/>
        </w:rPr>
      </w:pPr>
      <w:r>
        <w:drawing>
          <wp:anchor distT="0" distB="0" distL="114300" distR="114300" simplePos="0" relativeHeight="251663360" behindDoc="0" locked="0" layoutInCell="1" allowOverlap="1">
            <wp:simplePos x="0" y="0"/>
            <wp:positionH relativeFrom="column">
              <wp:posOffset>316865</wp:posOffset>
            </wp:positionH>
            <wp:positionV relativeFrom="paragraph">
              <wp:posOffset>236220</wp:posOffset>
            </wp:positionV>
            <wp:extent cx="4824730" cy="3498215"/>
            <wp:effectExtent l="4445" t="4445" r="17145" b="17780"/>
            <wp:wrapNone/>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772CA9FD">
      <w:pPr>
        <w:spacing w:line="600" w:lineRule="exact"/>
        <w:ind w:firstLine="640" w:firstLineChars="200"/>
        <w:rPr>
          <w:rFonts w:ascii="仿宋" w:hAnsi="仿宋" w:eastAsia="仿宋"/>
          <w:sz w:val="32"/>
          <w:szCs w:val="32"/>
        </w:rPr>
      </w:pPr>
    </w:p>
    <w:p w14:paraId="3B4971BC">
      <w:pPr>
        <w:spacing w:line="600" w:lineRule="exact"/>
        <w:ind w:firstLine="640" w:firstLineChars="200"/>
        <w:rPr>
          <w:rFonts w:ascii="仿宋" w:hAnsi="仿宋" w:eastAsia="仿宋"/>
          <w:sz w:val="32"/>
          <w:szCs w:val="32"/>
        </w:rPr>
      </w:pPr>
    </w:p>
    <w:p w14:paraId="069D875B">
      <w:pPr>
        <w:spacing w:line="600" w:lineRule="exact"/>
        <w:ind w:firstLine="640" w:firstLineChars="200"/>
        <w:rPr>
          <w:rFonts w:ascii="仿宋" w:hAnsi="仿宋" w:eastAsia="仿宋"/>
          <w:sz w:val="32"/>
          <w:szCs w:val="32"/>
        </w:rPr>
      </w:pPr>
    </w:p>
    <w:p w14:paraId="0FDC6EEE">
      <w:pPr>
        <w:spacing w:line="600" w:lineRule="exact"/>
        <w:ind w:firstLine="640" w:firstLineChars="200"/>
        <w:rPr>
          <w:rFonts w:ascii="仿宋" w:hAnsi="仿宋" w:eastAsia="仿宋"/>
          <w:sz w:val="32"/>
          <w:szCs w:val="32"/>
        </w:rPr>
      </w:pPr>
    </w:p>
    <w:p w14:paraId="25C214DF">
      <w:pPr>
        <w:spacing w:line="600" w:lineRule="exact"/>
        <w:ind w:firstLine="640" w:firstLineChars="200"/>
        <w:rPr>
          <w:rFonts w:ascii="仿宋" w:hAnsi="仿宋" w:eastAsia="仿宋"/>
          <w:sz w:val="32"/>
          <w:szCs w:val="32"/>
        </w:rPr>
      </w:pPr>
    </w:p>
    <w:p w14:paraId="6D54DE7C">
      <w:pPr>
        <w:spacing w:line="600" w:lineRule="exact"/>
        <w:ind w:firstLine="640" w:firstLineChars="200"/>
        <w:rPr>
          <w:rFonts w:ascii="仿宋" w:hAnsi="仿宋" w:eastAsia="仿宋"/>
          <w:sz w:val="32"/>
          <w:szCs w:val="32"/>
        </w:rPr>
      </w:pPr>
    </w:p>
    <w:p w14:paraId="21DB57D3">
      <w:pPr>
        <w:spacing w:line="600" w:lineRule="exact"/>
        <w:ind w:firstLine="640" w:firstLineChars="200"/>
        <w:rPr>
          <w:rFonts w:ascii="仿宋" w:hAnsi="仿宋" w:eastAsia="仿宋"/>
          <w:sz w:val="32"/>
          <w:szCs w:val="32"/>
        </w:rPr>
      </w:pPr>
    </w:p>
    <w:p w14:paraId="693A9287">
      <w:pPr>
        <w:spacing w:line="600" w:lineRule="exact"/>
        <w:ind w:firstLine="640" w:firstLineChars="200"/>
        <w:rPr>
          <w:rFonts w:ascii="仿宋" w:hAnsi="仿宋" w:eastAsia="仿宋"/>
          <w:sz w:val="32"/>
          <w:szCs w:val="32"/>
        </w:rPr>
      </w:pPr>
    </w:p>
    <w:p w14:paraId="34CAE387">
      <w:pPr>
        <w:spacing w:line="600" w:lineRule="exact"/>
        <w:ind w:firstLine="640" w:firstLineChars="200"/>
        <w:rPr>
          <w:rFonts w:ascii="仿宋" w:hAnsi="仿宋" w:eastAsia="仿宋"/>
          <w:sz w:val="32"/>
          <w:szCs w:val="32"/>
        </w:rPr>
      </w:pPr>
    </w:p>
    <w:p w14:paraId="4FF7185C">
      <w:pPr>
        <w:spacing w:line="600" w:lineRule="exact"/>
        <w:ind w:firstLine="643" w:firstLineChars="200"/>
        <w:outlineLvl w:val="2"/>
        <w:rPr>
          <w:rFonts w:ascii="仿宋" w:hAnsi="仿宋" w:eastAsia="仿宋"/>
          <w:b/>
          <w:sz w:val="32"/>
          <w:szCs w:val="32"/>
        </w:rPr>
      </w:pPr>
      <w:bookmarkStart w:id="57" w:name="_Toc15377211"/>
      <w:r>
        <w:rPr>
          <w:rFonts w:hint="eastAsia" w:ascii="仿宋" w:hAnsi="仿宋" w:eastAsia="仿宋"/>
          <w:b/>
          <w:sz w:val="32"/>
          <w:szCs w:val="32"/>
        </w:rPr>
        <w:t>（二）一般公共预算财政拨款支出决算结构情况</w:t>
      </w:r>
      <w:bookmarkEnd w:id="57"/>
    </w:p>
    <w:p w14:paraId="617E8B15">
      <w:pPr>
        <w:spacing w:line="600" w:lineRule="exact"/>
        <w:ind w:firstLine="640"/>
        <w:rPr>
          <w:rFonts w:ascii="仿宋" w:hAnsi="仿宋" w:eastAsia="仿宋"/>
          <w:b w:val="0"/>
          <w:bCs w:val="0"/>
          <w:sz w:val="32"/>
          <w:szCs w:val="32"/>
        </w:rPr>
      </w:pPr>
      <w:r>
        <w:rPr>
          <w:rFonts w:hint="eastAsia" w:ascii="仿宋" w:hAnsi="仿宋" w:eastAsia="仿宋"/>
          <w:b w:val="0"/>
          <w:bCs w:val="0"/>
          <w:sz w:val="32"/>
          <w:szCs w:val="32"/>
        </w:rPr>
        <w:t>2023年度一般公共预算财政拨款支出</w:t>
      </w:r>
      <w:r>
        <w:rPr>
          <w:b w:val="0"/>
          <w:bCs w:val="0"/>
          <w:sz w:val="32"/>
          <w:szCs w:val="32"/>
        </w:rPr>
        <w:t>14272.27</w:t>
      </w:r>
      <w:r>
        <w:rPr>
          <w:rFonts w:hint="eastAsia" w:ascii="仿宋" w:hAnsi="仿宋" w:eastAsia="仿宋"/>
          <w:b w:val="0"/>
          <w:bCs w:val="0"/>
          <w:sz w:val="32"/>
          <w:szCs w:val="32"/>
        </w:rPr>
        <w:t>万元，主要用于以下方面</w:t>
      </w:r>
      <w:r>
        <w:rPr>
          <w:rFonts w:ascii="仿宋" w:hAnsi="仿宋" w:eastAsia="仿宋"/>
          <w:b w:val="0"/>
          <w:bCs w:val="0"/>
          <w:sz w:val="32"/>
          <w:szCs w:val="32"/>
        </w:rPr>
        <w:t>:</w:t>
      </w:r>
      <w:r>
        <w:rPr>
          <w:rFonts w:hint="eastAsia" w:ascii="仿宋" w:hAnsi="仿宋" w:eastAsia="仿宋"/>
          <w:b w:val="0"/>
          <w:bCs w:val="0"/>
          <w:sz w:val="32"/>
          <w:szCs w:val="32"/>
        </w:rPr>
        <w:t>一般公共服务支出3.37万元，占</w:t>
      </w:r>
      <w:r>
        <w:rPr>
          <w:rFonts w:hint="eastAsia" w:ascii="仿宋" w:hAnsi="仿宋" w:eastAsia="仿宋"/>
          <w:b w:val="0"/>
          <w:bCs w:val="0"/>
          <w:sz w:val="32"/>
          <w:szCs w:val="32"/>
          <w:lang w:val="en-US" w:eastAsia="zh-CN"/>
        </w:rPr>
        <w:t>0.02</w:t>
      </w:r>
      <w:r>
        <w:rPr>
          <w:rFonts w:ascii="仿宋" w:hAnsi="仿宋" w:eastAsia="仿宋"/>
          <w:b w:val="0"/>
          <w:bCs w:val="0"/>
          <w:sz w:val="32"/>
          <w:szCs w:val="32"/>
        </w:rPr>
        <w:t>%</w:t>
      </w:r>
      <w:r>
        <w:rPr>
          <w:rFonts w:hint="eastAsia" w:ascii="仿宋" w:hAnsi="仿宋" w:eastAsia="仿宋"/>
          <w:b w:val="0"/>
          <w:bCs w:val="0"/>
          <w:sz w:val="32"/>
          <w:szCs w:val="32"/>
        </w:rPr>
        <w:t>；教育支出</w:t>
      </w:r>
      <w:r>
        <w:rPr>
          <w:rFonts w:hint="eastAsia" w:ascii="仿宋" w:hAnsi="仿宋" w:eastAsia="仿宋"/>
          <w:b w:val="0"/>
          <w:bCs w:val="0"/>
          <w:sz w:val="32"/>
          <w:szCs w:val="32"/>
          <w:lang w:val="en-US" w:eastAsia="zh-CN"/>
        </w:rPr>
        <w:t>0</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0</w:t>
      </w:r>
      <w:r>
        <w:rPr>
          <w:rFonts w:ascii="仿宋" w:hAnsi="仿宋" w:eastAsia="仿宋"/>
          <w:b w:val="0"/>
          <w:bCs w:val="0"/>
          <w:sz w:val="32"/>
          <w:szCs w:val="32"/>
        </w:rPr>
        <w:t>%</w:t>
      </w:r>
      <w:r>
        <w:rPr>
          <w:rFonts w:hint="eastAsia" w:ascii="仿宋" w:hAnsi="仿宋" w:eastAsia="仿宋"/>
          <w:b w:val="0"/>
          <w:bCs w:val="0"/>
          <w:sz w:val="32"/>
          <w:szCs w:val="32"/>
        </w:rPr>
        <w:t>；科学技术支出</w:t>
      </w:r>
      <w:r>
        <w:rPr>
          <w:rFonts w:hint="eastAsia" w:ascii="仿宋" w:hAnsi="仿宋" w:eastAsia="仿宋"/>
          <w:b w:val="0"/>
          <w:bCs w:val="0"/>
          <w:sz w:val="32"/>
          <w:szCs w:val="32"/>
          <w:lang w:val="en-US" w:eastAsia="zh-CN"/>
        </w:rPr>
        <w:t>0</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0</w:t>
      </w:r>
      <w:r>
        <w:rPr>
          <w:rFonts w:ascii="仿宋" w:hAnsi="仿宋" w:eastAsia="仿宋"/>
          <w:b w:val="0"/>
          <w:bCs w:val="0"/>
          <w:sz w:val="32"/>
          <w:szCs w:val="32"/>
        </w:rPr>
        <w:t>%</w:t>
      </w:r>
      <w:r>
        <w:rPr>
          <w:rFonts w:hint="eastAsia" w:ascii="仿宋" w:hAnsi="仿宋" w:eastAsia="仿宋"/>
          <w:b w:val="0"/>
          <w:bCs w:val="0"/>
          <w:sz w:val="32"/>
          <w:szCs w:val="32"/>
        </w:rPr>
        <w:t>；文化旅游体育与传媒支出</w:t>
      </w:r>
      <w:r>
        <w:rPr>
          <w:rFonts w:hint="eastAsia" w:ascii="仿宋" w:hAnsi="仿宋" w:eastAsia="仿宋"/>
          <w:b w:val="0"/>
          <w:bCs w:val="0"/>
          <w:sz w:val="32"/>
          <w:szCs w:val="32"/>
          <w:lang w:val="en-US" w:eastAsia="zh-CN"/>
        </w:rPr>
        <w:t>0</w:t>
      </w:r>
      <w:r>
        <w:rPr>
          <w:rFonts w:hint="eastAsia" w:ascii="仿宋" w:hAnsi="仿宋" w:eastAsia="仿宋"/>
          <w:b w:val="0"/>
          <w:bCs w:val="0"/>
          <w:sz w:val="32"/>
          <w:szCs w:val="32"/>
        </w:rPr>
        <w:t>万元，占</w:t>
      </w:r>
      <w:r>
        <w:rPr>
          <w:rFonts w:hint="eastAsia" w:ascii="仿宋" w:hAnsi="仿宋" w:eastAsia="仿宋"/>
          <w:b w:val="0"/>
          <w:bCs w:val="0"/>
          <w:sz w:val="32"/>
          <w:szCs w:val="32"/>
          <w:lang w:val="en-US" w:eastAsia="zh-CN"/>
        </w:rPr>
        <w:t>0</w:t>
      </w:r>
      <w:r>
        <w:rPr>
          <w:rFonts w:ascii="仿宋" w:hAnsi="仿宋" w:eastAsia="仿宋"/>
          <w:b w:val="0"/>
          <w:bCs w:val="0"/>
          <w:sz w:val="32"/>
          <w:szCs w:val="32"/>
        </w:rPr>
        <w:t>%</w:t>
      </w:r>
      <w:r>
        <w:rPr>
          <w:rFonts w:hint="eastAsia" w:ascii="仿宋" w:hAnsi="仿宋" w:eastAsia="仿宋"/>
          <w:b w:val="0"/>
          <w:bCs w:val="0"/>
          <w:sz w:val="32"/>
          <w:szCs w:val="32"/>
        </w:rPr>
        <w:t>；社会保障和就业支出350.83万元，占</w:t>
      </w:r>
      <w:r>
        <w:rPr>
          <w:rFonts w:hint="eastAsia" w:ascii="仿宋" w:hAnsi="仿宋" w:eastAsia="仿宋"/>
          <w:b w:val="0"/>
          <w:bCs w:val="0"/>
          <w:sz w:val="32"/>
          <w:szCs w:val="32"/>
          <w:lang w:val="en-US" w:eastAsia="zh-CN"/>
        </w:rPr>
        <w:t>2.46</w:t>
      </w:r>
      <w:r>
        <w:rPr>
          <w:rFonts w:ascii="仿宋" w:hAnsi="仿宋" w:eastAsia="仿宋"/>
          <w:b w:val="0"/>
          <w:bCs w:val="0"/>
          <w:sz w:val="32"/>
          <w:szCs w:val="32"/>
        </w:rPr>
        <w:t>%</w:t>
      </w:r>
      <w:r>
        <w:rPr>
          <w:rFonts w:hint="eastAsia" w:ascii="仿宋" w:hAnsi="仿宋" w:eastAsia="仿宋"/>
          <w:b w:val="0"/>
          <w:bCs w:val="0"/>
          <w:sz w:val="32"/>
          <w:szCs w:val="32"/>
        </w:rPr>
        <w:t>；卫生健康支出670.51万元，占</w:t>
      </w:r>
      <w:r>
        <w:rPr>
          <w:rFonts w:hint="eastAsia" w:ascii="仿宋" w:hAnsi="仿宋" w:eastAsia="仿宋"/>
          <w:b w:val="0"/>
          <w:bCs w:val="0"/>
          <w:sz w:val="32"/>
          <w:szCs w:val="32"/>
          <w:lang w:val="en-US" w:eastAsia="zh-CN"/>
        </w:rPr>
        <w:t>4.7</w:t>
      </w:r>
      <w:r>
        <w:rPr>
          <w:rFonts w:ascii="仿宋" w:hAnsi="仿宋" w:eastAsia="仿宋"/>
          <w:b w:val="0"/>
          <w:bCs w:val="0"/>
          <w:sz w:val="32"/>
          <w:szCs w:val="32"/>
        </w:rPr>
        <w:t>%</w:t>
      </w:r>
      <w:r>
        <w:rPr>
          <w:rFonts w:hint="eastAsia" w:ascii="仿宋" w:hAnsi="仿宋" w:eastAsia="仿宋"/>
          <w:b w:val="0"/>
          <w:bCs w:val="0"/>
          <w:sz w:val="32"/>
          <w:szCs w:val="32"/>
        </w:rPr>
        <w:t>；农林水支出425.89</w:t>
      </w:r>
      <w:r>
        <w:rPr>
          <w:rFonts w:hint="eastAsia" w:ascii="仿宋" w:hAnsi="仿宋" w:eastAsia="仿宋"/>
          <w:b w:val="0"/>
          <w:bCs w:val="0"/>
          <w:sz w:val="32"/>
          <w:szCs w:val="32"/>
          <w:lang w:val="en-US" w:eastAsia="zh-CN"/>
        </w:rPr>
        <w:t>万元</w:t>
      </w:r>
      <w:r>
        <w:rPr>
          <w:rFonts w:hint="eastAsia" w:ascii="仿宋" w:hAnsi="仿宋" w:eastAsia="仿宋"/>
          <w:b w:val="0"/>
          <w:bCs w:val="0"/>
          <w:sz w:val="32"/>
          <w:szCs w:val="32"/>
          <w:lang w:eastAsia="zh-CN"/>
        </w:rPr>
        <w:t>，</w:t>
      </w:r>
      <w:r>
        <w:rPr>
          <w:rFonts w:hint="eastAsia" w:ascii="仿宋" w:hAnsi="仿宋" w:eastAsia="仿宋"/>
          <w:b w:val="0"/>
          <w:bCs w:val="0"/>
          <w:sz w:val="32"/>
          <w:szCs w:val="32"/>
        </w:rPr>
        <w:t>占</w:t>
      </w:r>
      <w:r>
        <w:rPr>
          <w:rFonts w:hint="eastAsia" w:ascii="仿宋" w:hAnsi="仿宋" w:eastAsia="仿宋"/>
          <w:b w:val="0"/>
          <w:bCs w:val="0"/>
          <w:sz w:val="32"/>
          <w:szCs w:val="32"/>
          <w:lang w:val="en-US" w:eastAsia="zh-CN"/>
        </w:rPr>
        <w:t>2.98</w:t>
      </w:r>
      <w:r>
        <w:rPr>
          <w:rFonts w:hint="eastAsia" w:ascii="仿宋" w:hAnsi="仿宋" w:eastAsia="仿宋"/>
          <w:b w:val="0"/>
          <w:bCs w:val="0"/>
          <w:sz w:val="32"/>
          <w:szCs w:val="32"/>
        </w:rPr>
        <w:t>%</w:t>
      </w:r>
      <w:r>
        <w:rPr>
          <w:rFonts w:hint="eastAsia" w:ascii="仿宋" w:hAnsi="仿宋" w:eastAsia="仿宋"/>
          <w:b w:val="0"/>
          <w:bCs w:val="0"/>
          <w:sz w:val="32"/>
          <w:szCs w:val="32"/>
          <w:lang w:val="en-US" w:eastAsia="zh-CN"/>
        </w:rPr>
        <w:t>；交通运输</w:t>
      </w:r>
      <w:r>
        <w:rPr>
          <w:rFonts w:hint="eastAsia" w:ascii="仿宋" w:hAnsi="仿宋" w:eastAsia="仿宋"/>
          <w:b w:val="0"/>
          <w:bCs w:val="0"/>
          <w:sz w:val="32"/>
          <w:szCs w:val="32"/>
        </w:rPr>
        <w:t>支出12674.17万元，占</w:t>
      </w:r>
      <w:r>
        <w:rPr>
          <w:rFonts w:hint="eastAsia" w:ascii="仿宋" w:hAnsi="仿宋" w:eastAsia="仿宋"/>
          <w:b w:val="0"/>
          <w:bCs w:val="0"/>
          <w:sz w:val="32"/>
          <w:szCs w:val="32"/>
          <w:lang w:val="en-US" w:eastAsia="zh-CN"/>
        </w:rPr>
        <w:t>88.8</w:t>
      </w:r>
      <w:r>
        <w:rPr>
          <w:rFonts w:ascii="仿宋" w:hAnsi="仿宋" w:eastAsia="仿宋"/>
          <w:b w:val="0"/>
          <w:bCs w:val="0"/>
          <w:sz w:val="32"/>
          <w:szCs w:val="32"/>
        </w:rPr>
        <w:t>%</w:t>
      </w:r>
      <w:r>
        <w:rPr>
          <w:rFonts w:hint="eastAsia" w:ascii="仿宋" w:hAnsi="仿宋" w:eastAsia="仿宋"/>
          <w:b w:val="0"/>
          <w:bCs w:val="0"/>
          <w:sz w:val="32"/>
          <w:szCs w:val="32"/>
        </w:rPr>
        <w:t>；住房保障支出140.4万元，占</w:t>
      </w:r>
      <w:r>
        <w:rPr>
          <w:rFonts w:hint="eastAsia" w:ascii="仿宋" w:hAnsi="仿宋" w:eastAsia="仿宋"/>
          <w:b w:val="0"/>
          <w:bCs w:val="0"/>
          <w:sz w:val="32"/>
          <w:szCs w:val="32"/>
          <w:lang w:val="en-US" w:eastAsia="zh-CN"/>
        </w:rPr>
        <w:t>0.99</w:t>
      </w:r>
      <w:r>
        <w:rPr>
          <w:rFonts w:ascii="仿宋" w:hAnsi="仿宋" w:eastAsia="仿宋"/>
          <w:b w:val="0"/>
          <w:bCs w:val="0"/>
          <w:sz w:val="32"/>
          <w:szCs w:val="32"/>
        </w:rPr>
        <w:t>%</w:t>
      </w:r>
      <w:r>
        <w:rPr>
          <w:rFonts w:hint="eastAsia" w:ascii="仿宋" w:hAnsi="仿宋" w:eastAsia="仿宋"/>
          <w:b w:val="0"/>
          <w:bCs w:val="0"/>
          <w:sz w:val="32"/>
          <w:szCs w:val="32"/>
          <w:lang w:val="en-US" w:eastAsia="zh-CN"/>
        </w:rPr>
        <w:t>；</w:t>
      </w:r>
      <w:r>
        <w:rPr>
          <w:rFonts w:hint="eastAsia" w:ascii="仿宋" w:hAnsi="仿宋" w:eastAsia="仿宋" w:cs="Times New Roman"/>
          <w:b w:val="0"/>
          <w:bCs w:val="0"/>
          <w:sz w:val="32"/>
          <w:szCs w:val="32"/>
          <w:lang w:eastAsia="zh-CN"/>
        </w:rPr>
        <w:t>灾害防治及应急管理7.1</w:t>
      </w:r>
      <w:r>
        <w:rPr>
          <w:rFonts w:hint="eastAsia" w:ascii="仿宋" w:hAnsi="仿宋" w:eastAsia="仿宋" w:cs="Times New Roman"/>
          <w:b w:val="0"/>
          <w:bCs w:val="0"/>
          <w:sz w:val="32"/>
          <w:szCs w:val="32"/>
        </w:rPr>
        <w:t>万元，占</w:t>
      </w:r>
      <w:r>
        <w:rPr>
          <w:rFonts w:hint="eastAsia" w:ascii="仿宋" w:hAnsi="仿宋" w:eastAsia="仿宋" w:cs="Times New Roman"/>
          <w:b w:val="0"/>
          <w:bCs w:val="0"/>
          <w:sz w:val="32"/>
          <w:szCs w:val="32"/>
          <w:lang w:val="en-US" w:eastAsia="zh-CN"/>
        </w:rPr>
        <w:t>0.05</w:t>
      </w:r>
      <w:r>
        <w:rPr>
          <w:rFonts w:hint="eastAsia" w:ascii="仿宋" w:hAnsi="仿宋" w:eastAsia="仿宋" w:cs="Times New Roman"/>
          <w:b w:val="0"/>
          <w:bCs w:val="0"/>
          <w:sz w:val="32"/>
          <w:szCs w:val="32"/>
        </w:rPr>
        <w:t>%。</w:t>
      </w:r>
    </w:p>
    <w:p w14:paraId="0708C6EF">
      <w:pPr>
        <w:spacing w:line="600" w:lineRule="exact"/>
        <w:ind w:firstLine="640" w:firstLineChars="200"/>
        <w:rPr>
          <w:rFonts w:ascii="仿宋" w:hAnsi="仿宋" w:eastAsia="仿宋"/>
          <w:sz w:val="32"/>
          <w:szCs w:val="32"/>
        </w:rPr>
      </w:pPr>
      <w:r>
        <w:rPr>
          <w:rFonts w:hint="eastAsia" w:ascii="仿宋" w:hAnsi="仿宋" w:eastAsia="仿宋"/>
          <w:sz w:val="32"/>
          <w:szCs w:val="32"/>
        </w:rPr>
        <w:t>（图6：一般公共预算财政拨款支出决算结构）（饼状图）</w:t>
      </w:r>
    </w:p>
    <w:p w14:paraId="2365F2ED">
      <w:pPr>
        <w:spacing w:line="600" w:lineRule="exact"/>
        <w:ind w:firstLine="640" w:firstLineChars="200"/>
        <w:rPr>
          <w:rFonts w:ascii="仿宋" w:hAnsi="仿宋" w:eastAsia="仿宋"/>
          <w:sz w:val="32"/>
          <w:szCs w:val="32"/>
        </w:rPr>
      </w:pPr>
    </w:p>
    <w:p w14:paraId="1E3B4FDE">
      <w:pPr>
        <w:spacing w:line="600" w:lineRule="exact"/>
        <w:ind w:firstLine="640" w:firstLineChars="200"/>
        <w:rPr>
          <w:rFonts w:ascii="仿宋" w:hAnsi="仿宋" w:eastAsia="仿宋"/>
          <w:sz w:val="32"/>
          <w:szCs w:val="32"/>
        </w:rPr>
      </w:pPr>
    </w:p>
    <w:p w14:paraId="5BFFC6E5">
      <w:pPr>
        <w:spacing w:line="600" w:lineRule="exact"/>
        <w:ind w:firstLine="640" w:firstLineChars="200"/>
        <w:rPr>
          <w:rFonts w:ascii="仿宋" w:hAnsi="仿宋" w:eastAsia="仿宋"/>
          <w:sz w:val="32"/>
          <w:szCs w:val="32"/>
        </w:rPr>
      </w:pPr>
    </w:p>
    <w:p w14:paraId="5749203C">
      <w:pPr>
        <w:spacing w:line="600" w:lineRule="exact"/>
        <w:ind w:firstLine="420" w:firstLineChars="200"/>
        <w:rPr>
          <w:rFonts w:ascii="仿宋" w:hAnsi="仿宋" w:eastAsia="仿宋"/>
          <w:sz w:val="32"/>
          <w:szCs w:val="32"/>
        </w:rPr>
      </w:pPr>
      <w:r>
        <w:drawing>
          <wp:anchor distT="0" distB="0" distL="114300" distR="114300" simplePos="0" relativeHeight="251664384" behindDoc="0" locked="0" layoutInCell="1" allowOverlap="1">
            <wp:simplePos x="0" y="0"/>
            <wp:positionH relativeFrom="column">
              <wp:posOffset>659765</wp:posOffset>
            </wp:positionH>
            <wp:positionV relativeFrom="paragraph">
              <wp:posOffset>208280</wp:posOffset>
            </wp:positionV>
            <wp:extent cx="4182110" cy="3801745"/>
            <wp:effectExtent l="4445" t="5080" r="19685" b="18415"/>
            <wp:wrapNone/>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14:paraId="140401A1">
      <w:pPr>
        <w:spacing w:line="600" w:lineRule="exact"/>
        <w:ind w:firstLine="640" w:firstLineChars="200"/>
        <w:rPr>
          <w:rFonts w:ascii="仿宋" w:hAnsi="仿宋" w:eastAsia="仿宋"/>
          <w:sz w:val="32"/>
          <w:szCs w:val="32"/>
        </w:rPr>
      </w:pPr>
    </w:p>
    <w:p w14:paraId="02715BD0">
      <w:pPr>
        <w:spacing w:line="600" w:lineRule="exact"/>
        <w:ind w:firstLine="640" w:firstLineChars="200"/>
        <w:rPr>
          <w:rFonts w:ascii="仿宋" w:hAnsi="仿宋" w:eastAsia="仿宋"/>
          <w:sz w:val="32"/>
          <w:szCs w:val="32"/>
        </w:rPr>
      </w:pPr>
    </w:p>
    <w:p w14:paraId="66EC3B3A">
      <w:pPr>
        <w:spacing w:line="600" w:lineRule="exact"/>
        <w:ind w:firstLine="640" w:firstLineChars="200"/>
        <w:rPr>
          <w:rFonts w:ascii="仿宋" w:hAnsi="仿宋" w:eastAsia="仿宋"/>
          <w:sz w:val="32"/>
          <w:szCs w:val="32"/>
        </w:rPr>
      </w:pPr>
    </w:p>
    <w:p w14:paraId="753047A7">
      <w:pPr>
        <w:spacing w:line="600" w:lineRule="exact"/>
        <w:ind w:firstLine="640" w:firstLineChars="200"/>
        <w:rPr>
          <w:rFonts w:ascii="仿宋" w:hAnsi="仿宋" w:eastAsia="仿宋"/>
          <w:sz w:val="32"/>
          <w:szCs w:val="32"/>
        </w:rPr>
      </w:pPr>
    </w:p>
    <w:p w14:paraId="5E0A7DE9">
      <w:pPr>
        <w:spacing w:line="600" w:lineRule="exact"/>
        <w:ind w:firstLine="640" w:firstLineChars="200"/>
        <w:rPr>
          <w:rFonts w:ascii="仿宋" w:hAnsi="仿宋" w:eastAsia="仿宋"/>
          <w:sz w:val="32"/>
          <w:szCs w:val="32"/>
        </w:rPr>
      </w:pPr>
    </w:p>
    <w:p w14:paraId="67755597">
      <w:pPr>
        <w:spacing w:line="600" w:lineRule="exact"/>
        <w:ind w:firstLine="640" w:firstLineChars="200"/>
        <w:rPr>
          <w:rFonts w:ascii="仿宋" w:hAnsi="仿宋" w:eastAsia="仿宋"/>
          <w:sz w:val="32"/>
          <w:szCs w:val="32"/>
        </w:rPr>
      </w:pPr>
    </w:p>
    <w:p w14:paraId="2E54D140">
      <w:pPr>
        <w:spacing w:line="600" w:lineRule="exact"/>
        <w:ind w:firstLine="640" w:firstLineChars="200"/>
        <w:rPr>
          <w:rFonts w:ascii="仿宋" w:hAnsi="仿宋" w:eastAsia="仿宋"/>
          <w:sz w:val="32"/>
          <w:szCs w:val="32"/>
        </w:rPr>
      </w:pPr>
    </w:p>
    <w:p w14:paraId="3775BC96">
      <w:pPr>
        <w:spacing w:line="600" w:lineRule="exact"/>
        <w:ind w:firstLine="640" w:firstLineChars="200"/>
        <w:rPr>
          <w:rFonts w:ascii="仿宋" w:hAnsi="仿宋" w:eastAsia="仿宋"/>
          <w:sz w:val="32"/>
          <w:szCs w:val="32"/>
        </w:rPr>
      </w:pPr>
    </w:p>
    <w:p w14:paraId="53A48010">
      <w:pPr>
        <w:spacing w:line="600" w:lineRule="exact"/>
        <w:ind w:firstLine="640" w:firstLineChars="200"/>
        <w:rPr>
          <w:rFonts w:ascii="仿宋" w:hAnsi="仿宋" w:eastAsia="仿宋"/>
          <w:sz w:val="32"/>
          <w:szCs w:val="32"/>
        </w:rPr>
      </w:pPr>
    </w:p>
    <w:p w14:paraId="3E64A0EF">
      <w:pPr>
        <w:spacing w:line="600" w:lineRule="exact"/>
        <w:ind w:firstLine="640" w:firstLineChars="200"/>
        <w:rPr>
          <w:rFonts w:ascii="仿宋" w:hAnsi="仿宋" w:eastAsia="仿宋"/>
          <w:sz w:val="32"/>
          <w:szCs w:val="32"/>
        </w:rPr>
      </w:pPr>
    </w:p>
    <w:p w14:paraId="519EBE40">
      <w:pPr>
        <w:spacing w:line="600" w:lineRule="exact"/>
        <w:ind w:firstLine="643" w:firstLineChars="200"/>
        <w:outlineLvl w:val="2"/>
        <w:rPr>
          <w:rFonts w:ascii="仿宋" w:hAnsi="仿宋" w:eastAsia="仿宋"/>
          <w:b/>
          <w:sz w:val="32"/>
          <w:szCs w:val="32"/>
        </w:rPr>
      </w:pPr>
      <w:bookmarkStart w:id="58" w:name="_Toc15377212"/>
      <w:r>
        <w:rPr>
          <w:rFonts w:hint="eastAsia" w:ascii="仿宋" w:hAnsi="仿宋" w:eastAsia="仿宋"/>
          <w:b/>
          <w:sz w:val="32"/>
          <w:szCs w:val="32"/>
        </w:rPr>
        <w:t>（三）一般公共预算财政拨款支出决算具体情况</w:t>
      </w:r>
      <w:bookmarkEnd w:id="58"/>
    </w:p>
    <w:p w14:paraId="53CF7489">
      <w:pPr>
        <w:spacing w:line="600" w:lineRule="exact"/>
        <w:ind w:firstLine="643" w:firstLineChars="200"/>
        <w:rPr>
          <w:rFonts w:ascii="仿宋" w:hAnsi="仿宋" w:eastAsia="仿宋"/>
          <w:sz w:val="32"/>
          <w:szCs w:val="32"/>
        </w:rPr>
      </w:pPr>
      <w:bookmarkStart w:id="59" w:name="_Toc15377444"/>
      <w:bookmarkStart w:id="60" w:name="_Toc15377213"/>
      <w:bookmarkStart w:id="61" w:name="_Toc15378460"/>
      <w:r>
        <w:rPr>
          <w:rFonts w:hint="eastAsia" w:ascii="仿宋" w:hAnsi="仿宋" w:eastAsia="仿宋"/>
          <w:b/>
          <w:sz w:val="32"/>
          <w:szCs w:val="32"/>
        </w:rPr>
        <w:t>2023年度一般公共预算支出决算数为</w:t>
      </w:r>
      <w:r>
        <w:rPr>
          <w:sz w:val="32"/>
          <w:szCs w:val="32"/>
        </w:rPr>
        <w:t>14272.27</w:t>
      </w:r>
      <w:r>
        <w:rPr>
          <w:rFonts w:hint="eastAsia"/>
          <w:sz w:val="32"/>
          <w:szCs w:val="32"/>
          <w:lang w:eastAsia="zh-CN"/>
        </w:rPr>
        <w:t>万元</w:t>
      </w:r>
      <w:r>
        <w:rPr>
          <w:rFonts w:hint="eastAsia" w:ascii="仿宋" w:hAnsi="仿宋" w:eastAsia="仿宋"/>
          <w:sz w:val="32"/>
          <w:szCs w:val="32"/>
        </w:rPr>
        <w:t>，</w:t>
      </w:r>
      <w:r>
        <w:rPr>
          <w:rStyle w:val="18"/>
          <w:rFonts w:hint="eastAsia" w:ascii="仿宋" w:hAnsi="仿宋" w:eastAsia="仿宋"/>
          <w:bCs/>
          <w:sz w:val="32"/>
          <w:szCs w:val="32"/>
        </w:rPr>
        <w:t>完成预算</w:t>
      </w:r>
      <w:r>
        <w:rPr>
          <w:rStyle w:val="18"/>
          <w:rFonts w:hint="eastAsia" w:ascii="仿宋" w:hAnsi="仿宋" w:eastAsia="仿宋"/>
          <w:bCs/>
          <w:sz w:val="32"/>
          <w:szCs w:val="32"/>
          <w:lang w:val="en-US" w:eastAsia="zh-CN"/>
        </w:rPr>
        <w:t>100</w:t>
      </w:r>
      <w:r>
        <w:rPr>
          <w:rStyle w:val="18"/>
          <w:rFonts w:ascii="仿宋" w:hAnsi="仿宋" w:eastAsia="仿宋"/>
          <w:bCs/>
          <w:sz w:val="32"/>
          <w:szCs w:val="32"/>
        </w:rPr>
        <w:t>%</w:t>
      </w:r>
      <w:r>
        <w:rPr>
          <w:rStyle w:val="18"/>
          <w:rFonts w:hint="eastAsia" w:ascii="仿宋" w:hAnsi="仿宋" w:eastAsia="仿宋"/>
          <w:bCs/>
          <w:sz w:val="32"/>
          <w:szCs w:val="32"/>
        </w:rPr>
        <w:t>。其中：</w:t>
      </w:r>
      <w:bookmarkEnd w:id="59"/>
      <w:bookmarkEnd w:id="60"/>
      <w:bookmarkEnd w:id="61"/>
    </w:p>
    <w:p w14:paraId="5B67B7F2">
      <w:pPr>
        <w:spacing w:line="600" w:lineRule="exact"/>
        <w:ind w:firstLine="640" w:firstLineChars="200"/>
        <w:rPr>
          <w:rFonts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1</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lang w:val="en-US" w:eastAsia="zh-CN"/>
        </w:rPr>
        <w:t>一般公共服务支出</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政府办公厅（室）及相关机构事务</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行政运行</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1.37</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2AC7F47B">
      <w:pPr>
        <w:spacing w:line="600" w:lineRule="exact"/>
        <w:ind w:firstLine="640" w:firstLineChars="200"/>
        <w:rPr>
          <w:rFonts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2</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lang w:val="en-US" w:eastAsia="zh-CN"/>
        </w:rPr>
        <w:t>一般公共服务支出</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宣传事务</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一般行政管理事务</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2</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36C85097">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3</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lang w:val="en-US" w:eastAsia="zh-CN"/>
        </w:rPr>
        <w:t>社会保障和就业</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行政事业单位养老</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机关事业单位基本养老保险缴费</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181.59</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50A62CDE">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4</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lang w:val="en-US" w:eastAsia="zh-CN"/>
        </w:rPr>
        <w:t>社会保障和就业</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行政事业单位养老</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机关事业单位职业年金</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12.25</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1B9641E0">
      <w:pPr>
        <w:spacing w:line="600" w:lineRule="exact"/>
        <w:ind w:firstLine="640" w:firstLineChars="200"/>
        <w:rPr>
          <w:rStyle w:val="18"/>
          <w:rFonts w:hint="eastAsia" w:ascii="仿宋" w:hAnsi="仿宋" w:eastAsia="仿宋"/>
          <w:b w:val="0"/>
          <w:bCs w:val="0"/>
          <w:color w:val="auto"/>
          <w:sz w:val="32"/>
          <w:szCs w:val="32"/>
          <w:highlight w:val="none"/>
          <w:lang w:val="en-US" w:eastAsia="zh-CN"/>
        </w:rPr>
      </w:pPr>
      <w:r>
        <w:rPr>
          <w:rStyle w:val="18"/>
          <w:rFonts w:hint="eastAsia" w:ascii="仿宋" w:hAnsi="仿宋" w:eastAsia="仿宋"/>
          <w:b w:val="0"/>
          <w:bCs w:val="0"/>
          <w:color w:val="auto"/>
          <w:sz w:val="32"/>
          <w:szCs w:val="32"/>
          <w:highlight w:val="none"/>
          <w:lang w:val="en-US" w:eastAsia="zh-CN"/>
        </w:rPr>
        <w:t>5</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lang w:val="en-US" w:eastAsia="zh-CN"/>
        </w:rPr>
        <w:t>社会保障和就业</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抚恤</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死亡抚恤</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2.34</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29820544">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6.社会保障和就业</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其他社会保障和就业</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其他社会保障和就业</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 xml:space="preserve">: </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154.65</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23075D77">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7</w:t>
      </w:r>
      <w:r>
        <w:rPr>
          <w:rStyle w:val="18"/>
          <w:rFonts w:ascii="仿宋" w:hAnsi="仿宋" w:eastAsia="仿宋"/>
          <w:b w:val="0"/>
          <w:bCs w:val="0"/>
          <w:color w:val="auto"/>
          <w:sz w:val="32"/>
          <w:szCs w:val="32"/>
          <w:highlight w:val="none"/>
        </w:rPr>
        <w:t>.</w:t>
      </w:r>
      <w:r>
        <w:rPr>
          <w:rFonts w:hint="eastAsia" w:ascii="仿宋" w:hAnsi="仿宋" w:eastAsia="仿宋"/>
          <w:b w:val="0"/>
          <w:bCs w:val="0"/>
          <w:color w:val="auto"/>
          <w:sz w:val="32"/>
          <w:szCs w:val="32"/>
          <w:highlight w:val="none"/>
        </w:rPr>
        <w:t>卫生健康</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公共卫生</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重大公共卫生服务</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580.5</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7508B43B">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8.</w:t>
      </w:r>
      <w:r>
        <w:rPr>
          <w:rFonts w:hint="eastAsia" w:ascii="仿宋" w:hAnsi="仿宋" w:eastAsia="仿宋"/>
          <w:b w:val="0"/>
          <w:bCs w:val="0"/>
          <w:color w:val="auto"/>
          <w:sz w:val="32"/>
          <w:szCs w:val="32"/>
          <w:highlight w:val="none"/>
        </w:rPr>
        <w:t>卫生健康</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行政事业单位医疗</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行政单位医疗</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26.21</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70CF7EC6">
      <w:pPr>
        <w:spacing w:line="600" w:lineRule="exact"/>
        <w:ind w:firstLine="640" w:firstLineChars="200"/>
        <w:rPr>
          <w:rStyle w:val="18"/>
          <w:rFonts w:hint="eastAsia" w:ascii="仿宋" w:hAnsi="仿宋" w:eastAsia="仿宋"/>
          <w:b w:val="0"/>
          <w:bCs w:val="0"/>
          <w:color w:val="auto"/>
          <w:sz w:val="32"/>
          <w:szCs w:val="32"/>
          <w:highlight w:val="none"/>
        </w:rPr>
      </w:pPr>
      <w:r>
        <w:rPr>
          <w:rStyle w:val="18"/>
          <w:rFonts w:hint="eastAsia" w:ascii="仿宋" w:hAnsi="仿宋" w:eastAsia="仿宋"/>
          <w:b w:val="0"/>
          <w:bCs w:val="0"/>
          <w:color w:val="auto"/>
          <w:sz w:val="32"/>
          <w:szCs w:val="32"/>
          <w:highlight w:val="none"/>
          <w:lang w:val="en-US" w:eastAsia="zh-CN"/>
        </w:rPr>
        <w:t>9.</w:t>
      </w:r>
      <w:r>
        <w:rPr>
          <w:rFonts w:hint="eastAsia" w:ascii="仿宋" w:hAnsi="仿宋" w:eastAsia="仿宋"/>
          <w:b w:val="0"/>
          <w:bCs w:val="0"/>
          <w:color w:val="auto"/>
          <w:sz w:val="32"/>
          <w:szCs w:val="32"/>
          <w:highlight w:val="none"/>
        </w:rPr>
        <w:t>卫生健康</w:t>
      </w:r>
      <w:r>
        <w:rPr>
          <w:rStyle w:val="18"/>
          <w:rFonts w:hint="eastAsia" w:ascii="仿宋" w:hAnsi="仿宋" w:eastAsia="仿宋"/>
          <w:b w:val="0"/>
          <w:bCs w:val="0"/>
          <w:color w:val="auto"/>
          <w:sz w:val="32"/>
          <w:szCs w:val="32"/>
          <w:highlight w:val="none"/>
        </w:rPr>
        <w:t>（类）</w:t>
      </w:r>
      <w:r>
        <w:rPr>
          <w:rStyle w:val="18"/>
          <w:rFonts w:hint="eastAsia" w:ascii="仿宋" w:hAnsi="仿宋" w:eastAsia="仿宋"/>
          <w:b w:val="0"/>
          <w:bCs w:val="0"/>
          <w:color w:val="auto"/>
          <w:sz w:val="32"/>
          <w:szCs w:val="32"/>
          <w:highlight w:val="none"/>
          <w:lang w:val="en-US" w:eastAsia="zh-CN"/>
        </w:rPr>
        <w:t>行政事业单位医疗</w:t>
      </w:r>
      <w:r>
        <w:rPr>
          <w:rStyle w:val="18"/>
          <w:rFonts w:hint="eastAsia" w:ascii="仿宋" w:hAnsi="仿宋" w:eastAsia="仿宋"/>
          <w:b w:val="0"/>
          <w:bCs w:val="0"/>
          <w:color w:val="auto"/>
          <w:sz w:val="32"/>
          <w:szCs w:val="32"/>
          <w:highlight w:val="none"/>
        </w:rPr>
        <w:t>（款）</w:t>
      </w:r>
      <w:r>
        <w:rPr>
          <w:rStyle w:val="18"/>
          <w:rFonts w:hint="eastAsia" w:ascii="仿宋" w:hAnsi="仿宋" w:eastAsia="仿宋"/>
          <w:b w:val="0"/>
          <w:bCs w:val="0"/>
          <w:color w:val="auto"/>
          <w:sz w:val="32"/>
          <w:szCs w:val="32"/>
          <w:highlight w:val="none"/>
          <w:lang w:val="en-US" w:eastAsia="zh-CN"/>
        </w:rPr>
        <w:t>事业单位医疗</w:t>
      </w:r>
      <w:r>
        <w:rPr>
          <w:rStyle w:val="18"/>
          <w:rFonts w:hint="eastAsia" w:ascii="仿宋" w:hAnsi="仿宋" w:eastAsia="仿宋"/>
          <w:b w:val="0"/>
          <w:bCs w:val="0"/>
          <w:color w:val="auto"/>
          <w:sz w:val="32"/>
          <w:szCs w:val="32"/>
          <w:highlight w:val="none"/>
        </w:rPr>
        <w:t>（项）</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支出决算为</w:t>
      </w:r>
      <w:r>
        <w:rPr>
          <w:rStyle w:val="18"/>
          <w:rFonts w:hint="eastAsia" w:ascii="仿宋" w:hAnsi="仿宋" w:eastAsia="仿宋"/>
          <w:b w:val="0"/>
          <w:bCs w:val="0"/>
          <w:color w:val="auto"/>
          <w:sz w:val="32"/>
          <w:szCs w:val="32"/>
          <w:highlight w:val="none"/>
          <w:lang w:val="en-US" w:eastAsia="zh-CN"/>
        </w:rPr>
        <w:t>30.16</w:t>
      </w:r>
      <w:r>
        <w:rPr>
          <w:rStyle w:val="18"/>
          <w:rFonts w:hint="eastAsia" w:ascii="仿宋" w:hAnsi="仿宋" w:eastAsia="仿宋"/>
          <w:b w:val="0"/>
          <w:bCs w:val="0"/>
          <w:color w:val="auto"/>
          <w:sz w:val="32"/>
          <w:szCs w:val="32"/>
          <w:highlight w:val="none"/>
        </w:rPr>
        <w:t>万元，完成预算</w:t>
      </w:r>
      <w:r>
        <w:rPr>
          <w:rStyle w:val="18"/>
          <w:rFonts w:hint="eastAsia" w:ascii="仿宋" w:hAnsi="仿宋" w:eastAsia="仿宋"/>
          <w:b w:val="0"/>
          <w:bCs w:val="0"/>
          <w:color w:val="auto"/>
          <w:sz w:val="32"/>
          <w:szCs w:val="32"/>
          <w:highlight w:val="none"/>
          <w:lang w:val="en-US" w:eastAsia="zh-CN"/>
        </w:rPr>
        <w:t>100</w:t>
      </w:r>
      <w:r>
        <w:rPr>
          <w:rStyle w:val="18"/>
          <w:rFonts w:ascii="仿宋" w:hAnsi="仿宋" w:eastAsia="仿宋"/>
          <w:b w:val="0"/>
          <w:bCs w:val="0"/>
          <w:color w:val="auto"/>
          <w:sz w:val="32"/>
          <w:szCs w:val="32"/>
          <w:highlight w:val="none"/>
        </w:rPr>
        <w:t>%</w:t>
      </w:r>
      <w:r>
        <w:rPr>
          <w:rStyle w:val="18"/>
          <w:rFonts w:hint="eastAsia" w:ascii="仿宋" w:hAnsi="仿宋" w:eastAsia="仿宋"/>
          <w:b w:val="0"/>
          <w:bCs w:val="0"/>
          <w:color w:val="auto"/>
          <w:sz w:val="32"/>
          <w:szCs w:val="32"/>
          <w:highlight w:val="none"/>
        </w:rPr>
        <w:t>。</w:t>
      </w:r>
    </w:p>
    <w:p w14:paraId="2E833E5F">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10.卫生健康（类）行政事业单位医疗（款）公务员医疗补助（项）:支出决算为27.06万元，完成预算100%。</w:t>
      </w:r>
    </w:p>
    <w:p w14:paraId="755A033D">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11.卫生健康（类）行政事业单位医疗（款）其他行政事业单位医疗（项）:支出决算为6.57万元，完成预算100%。</w:t>
      </w:r>
    </w:p>
    <w:p w14:paraId="5E689AD2">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12.农林水（类）农业农村（款）其他农业农村（项）:支出决算为16.76万元，完成预算100%。</w:t>
      </w:r>
    </w:p>
    <w:p w14:paraId="20ACD37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13.农林水（类）巩固脱贫攻坚成果衔接乡村振兴（款）农村基础设施建设（项）:支出决算为249.13万元，完成预算100%。</w:t>
      </w:r>
    </w:p>
    <w:p w14:paraId="2AF758DB">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14.农林水（类）巩固脱贫攻坚成果衔接乡村振兴（款）其他巩固脱贫攻坚成果衔接乡村振兴（项）:支出决算为160万元，完成预算100%。</w:t>
      </w:r>
    </w:p>
    <w:p w14:paraId="41DAA5C9">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15.交通运输（类）公路水路运输（款）行政运行（项）:支出决算为958.3万元，完成预算100%。</w:t>
      </w:r>
    </w:p>
    <w:p w14:paraId="408C2B8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16.交通运输（类）公路水路运输（款）一般行政管理事务（项）:支出决算为592.04万元，完成预算100%。</w:t>
      </w:r>
    </w:p>
    <w:p w14:paraId="1292A06A">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17.交通运输（类）公路水路运输（款）公路建设（项）:支出决算为659万元，完成预算100%。</w:t>
      </w:r>
    </w:p>
    <w:p w14:paraId="7B7B8FC5">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18.交通运输（类）公路水路运输（款）公路养护（项）:支出决算为5015万元，完成预算100%。</w:t>
      </w:r>
    </w:p>
    <w:p w14:paraId="13EBEF0B">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19.交通运输（类）公路水路运输（款）公路和运输安全（项）:支出决算为103万元，完成预算100%。</w:t>
      </w:r>
    </w:p>
    <w:p w14:paraId="5CCE0843">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20.交通运输（类）公路水路运输（款）公路运输管理（项）:支出决算为241.28万元，完成预算100%。</w:t>
      </w:r>
    </w:p>
    <w:p w14:paraId="2C5A03A8">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21.交通运输（类）公路水路运输（款）救助打捞（项）:支出决算为159.72万元，完成预算100%。</w:t>
      </w:r>
    </w:p>
    <w:p w14:paraId="058A432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22.交通运输（类）公路水路运输（款）海事管理（项）:支出决算为225.98万元，完成预算100%。</w:t>
      </w:r>
    </w:p>
    <w:p w14:paraId="4EA4F830">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23.交通运输（类）公路水路运输（款）其他公路水路运输（项）:支出决算为1906.32万元，完成预算100%。</w:t>
      </w:r>
    </w:p>
    <w:p w14:paraId="2755FC7F">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24.交通运输（类）车辆购置税（款）车辆购置税用于农村公路建设（项）:支出决算为574.94万元，完成预算100%。</w:t>
      </w:r>
    </w:p>
    <w:p w14:paraId="67E0D83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25.交通运输（类）车辆购置税（款）车辆购置税（项）:支出决算为2021万元，完成预算100%。</w:t>
      </w:r>
    </w:p>
    <w:p w14:paraId="090C764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26.交通运输（类）其他交通运输（款）公共交通运营补助（项）:支出决算为55万元，完成预算100%。</w:t>
      </w:r>
    </w:p>
    <w:p w14:paraId="69E7445D">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27.交通运输（类）其他交通运输（款）其他交通运输（项）:支出决算为162.61万元，完成预算100%。</w:t>
      </w:r>
    </w:p>
    <w:p w14:paraId="3783C19B">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28.住房保障（类）住房改革（款）住房公积金（项）:支出决算为140.4万元，完成预算100%。</w:t>
      </w:r>
    </w:p>
    <w:p w14:paraId="6C915F71">
      <w:pPr>
        <w:spacing w:line="600" w:lineRule="exact"/>
        <w:ind w:firstLine="640" w:firstLineChars="200"/>
        <w:rPr>
          <w:rStyle w:val="18"/>
          <w:rFonts w:hint="eastAsia" w:ascii="仿宋" w:hAnsi="仿宋" w:eastAsia="仿宋" w:cs="Times New Roman"/>
          <w:b w:val="0"/>
          <w:bCs w:val="0"/>
          <w:color w:val="auto"/>
          <w:sz w:val="32"/>
          <w:szCs w:val="32"/>
          <w:highlight w:val="none"/>
          <w:lang w:val="en-US" w:eastAsia="zh-CN"/>
        </w:rPr>
      </w:pPr>
      <w:r>
        <w:rPr>
          <w:rStyle w:val="18"/>
          <w:rFonts w:hint="eastAsia" w:ascii="仿宋" w:hAnsi="仿宋" w:eastAsia="仿宋" w:cs="Times New Roman"/>
          <w:b w:val="0"/>
          <w:bCs w:val="0"/>
          <w:color w:val="auto"/>
          <w:sz w:val="32"/>
          <w:szCs w:val="32"/>
          <w:highlight w:val="none"/>
          <w:lang w:val="en-US" w:eastAsia="zh-CN"/>
        </w:rPr>
        <w:t>29.灾害防治及应急管理（类）应急管理事务（款）应急救援（项）:支出决算为7.1万元，完成预算100%。</w:t>
      </w:r>
    </w:p>
    <w:p w14:paraId="0F6B9D49">
      <w:pPr>
        <w:tabs>
          <w:tab w:val="right" w:pos="8306"/>
        </w:tabs>
        <w:spacing w:line="600" w:lineRule="exact"/>
        <w:ind w:firstLine="640"/>
        <w:outlineLvl w:val="1"/>
        <w:rPr>
          <w:rStyle w:val="30"/>
        </w:rPr>
      </w:pPr>
      <w:bookmarkStart w:id="62" w:name="_Toc15396608"/>
      <w:bookmarkStart w:id="63" w:name="_Toc15377214"/>
      <w:bookmarkStart w:id="64" w:name="_Toc23682"/>
      <w:bookmarkStart w:id="65" w:name="_Toc9551"/>
      <w:r>
        <w:rPr>
          <w:rFonts w:hint="eastAsia" w:ascii="黑体" w:eastAsia="黑体"/>
          <w:sz w:val="32"/>
          <w:szCs w:val="32"/>
        </w:rPr>
        <w:t>六</w:t>
      </w:r>
      <w:r>
        <w:rPr>
          <w:rFonts w:hint="eastAsia" w:ascii="黑体" w:eastAsia="黑体"/>
          <w:b/>
          <w:sz w:val="32"/>
          <w:szCs w:val="32"/>
        </w:rPr>
        <w:t>、</w:t>
      </w:r>
      <w:r>
        <w:rPr>
          <w:rFonts w:hint="eastAsia" w:ascii="黑体" w:hAnsi="黑体" w:eastAsia="黑体"/>
          <w:b/>
          <w:sz w:val="32"/>
          <w:szCs w:val="32"/>
        </w:rPr>
        <w:t>一</w:t>
      </w:r>
      <w:r>
        <w:rPr>
          <w:rStyle w:val="30"/>
          <w:rFonts w:hint="eastAsia" w:ascii="黑体" w:hAnsi="黑体" w:eastAsia="黑体"/>
          <w:b w:val="0"/>
        </w:rPr>
        <w:t>般公共预算财政拨款基本支出决算情况说明</w:t>
      </w:r>
      <w:bookmarkEnd w:id="62"/>
      <w:bookmarkEnd w:id="63"/>
      <w:bookmarkEnd w:id="64"/>
      <w:bookmarkEnd w:id="65"/>
      <w:r>
        <w:rPr>
          <w:rStyle w:val="30"/>
          <w:rFonts w:ascii="黑体" w:hAnsi="黑体" w:eastAsia="黑体"/>
          <w:b w:val="0"/>
        </w:rPr>
        <w:tab/>
      </w:r>
    </w:p>
    <w:p w14:paraId="5F2E9B4C">
      <w:pPr>
        <w:spacing w:line="600" w:lineRule="exact"/>
        <w:ind w:firstLine="645"/>
        <w:rPr>
          <w:rFonts w:ascii="仿宋" w:hAnsi="仿宋" w:eastAsia="仿宋"/>
          <w:sz w:val="32"/>
          <w:szCs w:val="32"/>
        </w:rPr>
      </w:pPr>
      <w:r>
        <w:rPr>
          <w:rFonts w:hint="eastAsia" w:ascii="仿宋" w:hAnsi="仿宋" w:eastAsia="仿宋"/>
          <w:sz w:val="32"/>
          <w:szCs w:val="32"/>
        </w:rPr>
        <w:t>2023年度一般公共预算财政拨款基本支出</w:t>
      </w:r>
      <w:r>
        <w:rPr>
          <w:sz w:val="32"/>
          <w:szCs w:val="32"/>
        </w:rPr>
        <w:t>2265.07</w:t>
      </w:r>
      <w:r>
        <w:rPr>
          <w:rFonts w:hint="eastAsia" w:ascii="仿宋" w:hAnsi="仿宋" w:eastAsia="仿宋"/>
          <w:sz w:val="32"/>
          <w:szCs w:val="32"/>
        </w:rPr>
        <w:t>万元，其中：</w:t>
      </w:r>
    </w:p>
    <w:p w14:paraId="4629FE47">
      <w:pPr>
        <w:spacing w:line="600" w:lineRule="exact"/>
        <w:ind w:firstLine="645"/>
        <w:rPr>
          <w:rFonts w:ascii="仿宋" w:hAnsi="仿宋" w:eastAsia="仿宋"/>
          <w:sz w:val="32"/>
          <w:szCs w:val="32"/>
        </w:rPr>
      </w:pPr>
      <w:r>
        <w:rPr>
          <w:rFonts w:hint="eastAsia" w:ascii="仿宋" w:hAnsi="仿宋" w:eastAsia="仿宋"/>
          <w:sz w:val="32"/>
          <w:szCs w:val="32"/>
        </w:rPr>
        <w:t>人员经费</w:t>
      </w:r>
      <w:r>
        <w:rPr>
          <w:sz w:val="32"/>
          <w:szCs w:val="32"/>
        </w:rPr>
        <w:t>2027.25</w:t>
      </w:r>
      <w:r>
        <w:rPr>
          <w:rFonts w:hint="eastAsia" w:ascii="仿宋" w:hAnsi="仿宋" w:eastAsia="仿宋"/>
          <w:sz w:val="32"/>
          <w:szCs w:val="32"/>
        </w:rPr>
        <w:t>万元，主要包括：基本工资、津贴补贴、奖金、绩效工资、机关事业单位基本养老保险缴费、职业年金缴费</w:t>
      </w:r>
      <w:r>
        <w:rPr>
          <w:rFonts w:hint="eastAsia" w:ascii="仿宋" w:hAnsi="仿宋" w:eastAsia="仿宋"/>
          <w:sz w:val="32"/>
          <w:szCs w:val="32"/>
          <w:lang w:eastAsia="zh-CN"/>
        </w:rPr>
        <w:t>、职工基本医疗保险缴费、</w:t>
      </w:r>
      <w:r>
        <w:rPr>
          <w:rFonts w:hint="eastAsia" w:ascii="仿宋" w:hAnsi="仿宋" w:eastAsia="仿宋"/>
          <w:sz w:val="32"/>
          <w:szCs w:val="32"/>
        </w:rPr>
        <w:t>公务员医疗补助缴费</w:t>
      </w:r>
      <w:r>
        <w:rPr>
          <w:rFonts w:hint="eastAsia" w:ascii="仿宋" w:hAnsi="仿宋" w:eastAsia="仿宋"/>
          <w:sz w:val="32"/>
          <w:szCs w:val="32"/>
          <w:lang w:eastAsia="zh-CN"/>
        </w:rPr>
        <w:t>、其他社会保障缴费</w:t>
      </w:r>
      <w:r>
        <w:rPr>
          <w:rFonts w:hint="eastAsia" w:ascii="仿宋" w:hAnsi="仿宋" w:eastAsia="仿宋"/>
          <w:sz w:val="32"/>
          <w:szCs w:val="32"/>
        </w:rPr>
        <w:t>、住房公积金、其他工资福利支出</w:t>
      </w:r>
      <w:r>
        <w:rPr>
          <w:rFonts w:hint="eastAsia" w:ascii="仿宋" w:hAnsi="仿宋" w:eastAsia="仿宋"/>
          <w:sz w:val="32"/>
          <w:szCs w:val="32"/>
          <w:lang w:eastAsia="zh-CN"/>
        </w:rPr>
        <w:t>、</w:t>
      </w:r>
      <w:r>
        <w:rPr>
          <w:rFonts w:hint="eastAsia" w:ascii="仿宋" w:hAnsi="仿宋" w:eastAsia="仿宋"/>
          <w:sz w:val="32"/>
          <w:szCs w:val="32"/>
        </w:rPr>
        <w:t xml:space="preserve"> 抚恤金</w:t>
      </w:r>
      <w:r>
        <w:rPr>
          <w:rFonts w:hint="eastAsia" w:ascii="仿宋" w:hAnsi="仿宋" w:eastAsia="仿宋"/>
          <w:sz w:val="32"/>
          <w:szCs w:val="32"/>
          <w:lang w:eastAsia="zh-CN"/>
        </w:rPr>
        <w:t>、生活补助</w:t>
      </w:r>
      <w:r>
        <w:rPr>
          <w:rFonts w:hint="eastAsia" w:ascii="仿宋" w:hAnsi="仿宋" w:eastAsia="仿宋"/>
          <w:sz w:val="32"/>
          <w:szCs w:val="32"/>
        </w:rPr>
        <w:t>等。</w:t>
      </w:r>
      <w:r>
        <w:rPr>
          <w:rFonts w:ascii="仿宋" w:hAnsi="仿宋" w:eastAsia="仿宋"/>
          <w:sz w:val="32"/>
          <w:szCs w:val="32"/>
        </w:rPr>
        <w:br w:type="textWrapping"/>
      </w:r>
      <w:r>
        <w:rPr>
          <w:rFonts w:hint="eastAsia" w:ascii="仿宋" w:hAnsi="仿宋" w:eastAsia="仿宋"/>
          <w:sz w:val="32"/>
          <w:szCs w:val="32"/>
        </w:rPr>
        <w:t>　　公用经费</w:t>
      </w:r>
      <w:r>
        <w:rPr>
          <w:sz w:val="32"/>
          <w:szCs w:val="32"/>
        </w:rPr>
        <w:t>237.82</w:t>
      </w:r>
      <w:r>
        <w:rPr>
          <w:rFonts w:hint="eastAsia" w:ascii="仿宋" w:hAnsi="仿宋" w:eastAsia="仿宋"/>
          <w:sz w:val="32"/>
          <w:szCs w:val="32"/>
        </w:rPr>
        <w:t>万元，主要包括：办公费、印刷费、水费、电费、邮电费、物业管理费、差旅费、维修（护）费</w:t>
      </w:r>
      <w:r>
        <w:rPr>
          <w:rFonts w:hint="eastAsia" w:ascii="仿宋" w:hAnsi="仿宋" w:eastAsia="仿宋"/>
          <w:sz w:val="32"/>
          <w:szCs w:val="32"/>
          <w:lang w:eastAsia="zh-CN"/>
        </w:rPr>
        <w:t>、</w:t>
      </w:r>
      <w:r>
        <w:rPr>
          <w:rFonts w:hint="eastAsia" w:ascii="仿宋" w:hAnsi="仿宋" w:eastAsia="仿宋"/>
          <w:sz w:val="32"/>
          <w:szCs w:val="32"/>
        </w:rPr>
        <w:t>会议费、培训费、公务接待费、劳务费</w:t>
      </w:r>
      <w:r>
        <w:rPr>
          <w:rFonts w:hint="eastAsia" w:ascii="仿宋" w:hAnsi="仿宋" w:eastAsia="仿宋"/>
          <w:sz w:val="32"/>
          <w:szCs w:val="32"/>
          <w:lang w:eastAsia="zh-CN"/>
        </w:rPr>
        <w:t>、</w:t>
      </w:r>
      <w:r>
        <w:rPr>
          <w:rFonts w:hint="eastAsia" w:ascii="仿宋" w:hAnsi="仿宋" w:eastAsia="仿宋"/>
          <w:sz w:val="32"/>
          <w:szCs w:val="32"/>
        </w:rPr>
        <w:t>委托业务费、工会经费、福利费</w:t>
      </w:r>
      <w:r>
        <w:rPr>
          <w:rFonts w:hint="eastAsia" w:ascii="仿宋" w:hAnsi="仿宋" w:eastAsia="仿宋"/>
          <w:sz w:val="32"/>
          <w:szCs w:val="32"/>
          <w:lang w:eastAsia="zh-CN"/>
        </w:rPr>
        <w:t>、</w:t>
      </w:r>
      <w:r>
        <w:rPr>
          <w:rFonts w:hint="eastAsia" w:ascii="仿宋" w:hAnsi="仿宋" w:eastAsia="仿宋"/>
          <w:sz w:val="32"/>
          <w:szCs w:val="32"/>
        </w:rPr>
        <w:t>公务用车运行维护费、其他交通费、其他商品和服务支出等。</w:t>
      </w:r>
    </w:p>
    <w:p w14:paraId="56B47409">
      <w:pPr>
        <w:spacing w:line="600" w:lineRule="exact"/>
        <w:ind w:firstLine="640"/>
        <w:outlineLvl w:val="1"/>
        <w:rPr>
          <w:rStyle w:val="30"/>
          <w:rFonts w:ascii="黑体" w:hAnsi="黑体" w:eastAsia="黑体"/>
          <w:b w:val="0"/>
        </w:rPr>
      </w:pPr>
      <w:bookmarkStart w:id="66" w:name="_Toc15396609"/>
      <w:bookmarkStart w:id="67" w:name="_Toc15377215"/>
      <w:bookmarkStart w:id="68" w:name="_Toc20836"/>
      <w:bookmarkStart w:id="69" w:name="_Toc31923"/>
      <w:r>
        <w:rPr>
          <w:rFonts w:hint="eastAsia" w:ascii="黑体" w:eastAsia="黑体"/>
          <w:sz w:val="32"/>
          <w:szCs w:val="32"/>
        </w:rPr>
        <w:t>七、</w:t>
      </w:r>
      <w:r>
        <w:rPr>
          <w:rStyle w:val="30"/>
          <w:rFonts w:hint="eastAsia" w:ascii="黑体" w:hAnsi="黑体" w:eastAsia="黑体"/>
          <w:b w:val="0"/>
        </w:rPr>
        <w:t>财政拨款</w:t>
      </w:r>
      <w:r>
        <w:rPr>
          <w:rStyle w:val="30"/>
          <w:rFonts w:hint="eastAsia" w:ascii="黑体" w:hAnsi="黑体" w:eastAsia="黑体"/>
        </w:rPr>
        <w:t>“</w:t>
      </w:r>
      <w:r>
        <w:rPr>
          <w:rStyle w:val="30"/>
          <w:rFonts w:hint="eastAsia" w:ascii="黑体" w:hAnsi="黑体" w:eastAsia="黑体"/>
          <w:b w:val="0"/>
        </w:rPr>
        <w:t>三公”经费支出决算情况说明</w:t>
      </w:r>
      <w:bookmarkEnd w:id="66"/>
      <w:bookmarkEnd w:id="67"/>
      <w:bookmarkEnd w:id="68"/>
      <w:bookmarkEnd w:id="69"/>
    </w:p>
    <w:p w14:paraId="5FC3C353">
      <w:pPr>
        <w:spacing w:line="600" w:lineRule="exact"/>
        <w:ind w:firstLine="640"/>
        <w:outlineLvl w:val="2"/>
        <w:rPr>
          <w:rFonts w:ascii="仿宋" w:hAnsi="仿宋" w:eastAsia="仿宋"/>
          <w:b/>
          <w:sz w:val="32"/>
          <w:szCs w:val="32"/>
        </w:rPr>
      </w:pPr>
      <w:bookmarkStart w:id="70" w:name="_Toc15377216"/>
      <w:r>
        <w:rPr>
          <w:rFonts w:hint="eastAsia" w:ascii="仿宋" w:hAnsi="仿宋" w:eastAsia="仿宋"/>
          <w:b/>
          <w:sz w:val="32"/>
          <w:szCs w:val="32"/>
        </w:rPr>
        <w:t>（一）“三公”经费财政拨款支出决算总体情况说明</w:t>
      </w:r>
      <w:bookmarkEnd w:id="70"/>
    </w:p>
    <w:p w14:paraId="03024A0A">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2023年度“三公”经费财政拨款支出决算为</w:t>
      </w:r>
      <w:r>
        <w:rPr>
          <w:sz w:val="32"/>
          <w:szCs w:val="32"/>
        </w:rPr>
        <w:t>20.62</w:t>
      </w:r>
      <w:r>
        <w:rPr>
          <w:rFonts w:hint="eastAsia" w:ascii="仿宋" w:hAnsi="仿宋" w:eastAsia="仿宋"/>
          <w:sz w:val="32"/>
          <w:szCs w:val="32"/>
        </w:rPr>
        <w:t>万元，完成预算</w:t>
      </w:r>
      <w:r>
        <w:rPr>
          <w:sz w:val="32"/>
          <w:szCs w:val="32"/>
        </w:rPr>
        <w:t>94.68</w:t>
      </w:r>
      <w:r>
        <w:rPr>
          <w:rFonts w:ascii="仿宋" w:hAnsi="仿宋" w:eastAsia="仿宋"/>
          <w:sz w:val="32"/>
          <w:szCs w:val="32"/>
        </w:rPr>
        <w:t>%</w:t>
      </w:r>
      <w:r>
        <w:rPr>
          <w:rFonts w:hint="eastAsia" w:ascii="仿宋" w:hAnsi="仿宋" w:eastAsia="仿宋"/>
          <w:sz w:val="32"/>
          <w:szCs w:val="32"/>
        </w:rPr>
        <w:t>，较上年度减少</w:t>
      </w:r>
      <w:r>
        <w:rPr>
          <w:rFonts w:hint="eastAsia" w:ascii="仿宋" w:hAnsi="仿宋" w:eastAsia="仿宋"/>
          <w:sz w:val="32"/>
          <w:szCs w:val="32"/>
          <w:lang w:val="en-US" w:eastAsia="zh-CN"/>
        </w:rPr>
        <w:t>20.57</w:t>
      </w:r>
      <w:r>
        <w:rPr>
          <w:rFonts w:hint="eastAsia" w:ascii="仿宋" w:hAnsi="仿宋" w:eastAsia="仿宋"/>
          <w:sz w:val="32"/>
          <w:szCs w:val="32"/>
        </w:rPr>
        <w:t>万元，下降</w:t>
      </w:r>
      <w:r>
        <w:rPr>
          <w:rFonts w:hint="eastAsia" w:ascii="仿宋" w:hAnsi="仿宋" w:eastAsia="仿宋"/>
          <w:sz w:val="32"/>
          <w:szCs w:val="32"/>
          <w:lang w:val="en-US" w:eastAsia="zh-CN"/>
        </w:rPr>
        <w:t>49.94</w:t>
      </w:r>
      <w:r>
        <w:rPr>
          <w:rFonts w:hint="eastAsia" w:ascii="仿宋" w:hAnsi="仿宋" w:eastAsia="仿宋"/>
          <w:sz w:val="32"/>
          <w:szCs w:val="32"/>
        </w:rPr>
        <w:t>%。</w:t>
      </w:r>
      <w:r>
        <w:rPr>
          <w:rFonts w:hint="eastAsia" w:ascii="仿宋" w:hAnsi="仿宋" w:eastAsia="仿宋"/>
          <w:sz w:val="32"/>
          <w:szCs w:val="32"/>
          <w:lang w:val="en-US" w:eastAsia="zh-CN"/>
        </w:rPr>
        <w:t>原因是运管所2022年公务车运行费调整。</w:t>
      </w:r>
      <w:r>
        <w:rPr>
          <w:rFonts w:hint="eastAsia" w:ascii="仿宋" w:hAnsi="仿宋" w:eastAsia="仿宋"/>
          <w:sz w:val="32"/>
          <w:szCs w:val="32"/>
        </w:rPr>
        <w:t>决算数小于预算数主要原因是厉行节俭节约，控制三公经费。</w:t>
      </w:r>
    </w:p>
    <w:p w14:paraId="1CFFCE85">
      <w:pPr>
        <w:spacing w:line="600" w:lineRule="exact"/>
        <w:ind w:firstLine="640"/>
        <w:outlineLvl w:val="2"/>
        <w:rPr>
          <w:rFonts w:ascii="仿宋" w:hAnsi="仿宋" w:eastAsia="仿宋"/>
          <w:b/>
          <w:sz w:val="32"/>
          <w:szCs w:val="32"/>
        </w:rPr>
      </w:pPr>
      <w:bookmarkStart w:id="71" w:name="_Toc15377217"/>
      <w:r>
        <w:rPr>
          <w:rFonts w:hint="eastAsia" w:ascii="仿宋" w:hAnsi="仿宋" w:eastAsia="仿宋"/>
          <w:b/>
          <w:sz w:val="32"/>
          <w:szCs w:val="32"/>
        </w:rPr>
        <w:t>（二）“三公”经费财政拨款支出决算具体情况说明</w:t>
      </w:r>
      <w:bookmarkEnd w:id="71"/>
    </w:p>
    <w:p w14:paraId="645948A7">
      <w:pPr>
        <w:spacing w:line="600" w:lineRule="exact"/>
        <w:ind w:firstLine="640"/>
        <w:rPr>
          <w:rFonts w:ascii="仿宋" w:hAnsi="仿宋" w:eastAsia="仿宋"/>
          <w:sz w:val="32"/>
          <w:szCs w:val="32"/>
        </w:rPr>
      </w:pPr>
      <w:r>
        <w:rPr>
          <w:rFonts w:hint="eastAsia" w:ascii="仿宋" w:hAnsi="仿宋" w:eastAsia="仿宋"/>
          <w:sz w:val="32"/>
          <w:szCs w:val="32"/>
        </w:rPr>
        <w:t>2023年度“三公”经费财政拨款支出决算中，因公出国（境）费支出决算</w:t>
      </w:r>
      <w:r>
        <w:rPr>
          <w:sz w:val="32"/>
          <w:szCs w:val="32"/>
        </w:rPr>
        <w:t>0</w:t>
      </w:r>
      <w:r>
        <w:rPr>
          <w:rFonts w:hint="eastAsia" w:ascii="仿宋" w:hAnsi="仿宋" w:eastAsia="仿宋"/>
          <w:sz w:val="32"/>
          <w:szCs w:val="32"/>
        </w:rPr>
        <w:t>万元，占</w:t>
      </w:r>
      <w:r>
        <w:rPr>
          <w:sz w:val="32"/>
          <w:szCs w:val="32"/>
        </w:rPr>
        <w:t>0</w:t>
      </w:r>
      <w:r>
        <w:rPr>
          <w:rFonts w:ascii="仿宋" w:hAnsi="仿宋" w:eastAsia="仿宋"/>
          <w:sz w:val="32"/>
          <w:szCs w:val="32"/>
        </w:rPr>
        <w:t>%</w:t>
      </w:r>
      <w:r>
        <w:rPr>
          <w:rFonts w:hint="eastAsia" w:ascii="仿宋" w:hAnsi="仿宋" w:eastAsia="仿宋"/>
          <w:sz w:val="32"/>
          <w:szCs w:val="32"/>
        </w:rPr>
        <w:t>；公务用车购置及运行维护费支出决算</w:t>
      </w:r>
      <w:r>
        <w:rPr>
          <w:sz w:val="32"/>
          <w:szCs w:val="32"/>
        </w:rPr>
        <w:t>16.4</w:t>
      </w:r>
      <w:r>
        <w:rPr>
          <w:rFonts w:hint="eastAsia" w:ascii="仿宋" w:hAnsi="仿宋" w:eastAsia="仿宋"/>
          <w:sz w:val="32"/>
          <w:szCs w:val="32"/>
        </w:rPr>
        <w:t>万元，占</w:t>
      </w:r>
      <w:r>
        <w:rPr>
          <w:sz w:val="32"/>
          <w:szCs w:val="32"/>
        </w:rPr>
        <w:t>79.5</w:t>
      </w:r>
      <w:r>
        <w:rPr>
          <w:rFonts w:hint="eastAsia"/>
          <w:sz w:val="32"/>
          <w:szCs w:val="32"/>
          <w:lang w:val="en-US" w:eastAsia="zh-CN"/>
        </w:rPr>
        <w:t>3</w:t>
      </w:r>
      <w:r>
        <w:rPr>
          <w:rFonts w:ascii="仿宋" w:hAnsi="仿宋" w:eastAsia="仿宋"/>
          <w:sz w:val="32"/>
          <w:szCs w:val="32"/>
        </w:rPr>
        <w:t>%</w:t>
      </w:r>
      <w:r>
        <w:rPr>
          <w:rFonts w:hint="eastAsia" w:ascii="仿宋" w:hAnsi="仿宋" w:eastAsia="仿宋"/>
          <w:sz w:val="32"/>
          <w:szCs w:val="32"/>
        </w:rPr>
        <w:t>；公务接待费支出决算</w:t>
      </w:r>
      <w:r>
        <w:rPr>
          <w:sz w:val="32"/>
          <w:szCs w:val="32"/>
        </w:rPr>
        <w:t>4.22</w:t>
      </w:r>
      <w:r>
        <w:rPr>
          <w:rFonts w:hint="eastAsia" w:ascii="仿宋" w:hAnsi="仿宋" w:eastAsia="仿宋"/>
          <w:sz w:val="32"/>
          <w:szCs w:val="32"/>
        </w:rPr>
        <w:t>万元，占</w:t>
      </w:r>
      <w:r>
        <w:rPr>
          <w:sz w:val="32"/>
          <w:szCs w:val="32"/>
        </w:rPr>
        <w:t>20.4</w:t>
      </w:r>
      <w:r>
        <w:rPr>
          <w:rFonts w:hint="eastAsia"/>
          <w:sz w:val="32"/>
          <w:szCs w:val="32"/>
          <w:lang w:val="en-US" w:eastAsia="zh-CN"/>
        </w:rPr>
        <w:t>7</w:t>
      </w:r>
      <w:r>
        <w:rPr>
          <w:rFonts w:ascii="仿宋" w:hAnsi="仿宋" w:eastAsia="仿宋"/>
          <w:sz w:val="32"/>
          <w:szCs w:val="32"/>
        </w:rPr>
        <w:t>%</w:t>
      </w:r>
      <w:r>
        <w:rPr>
          <w:rFonts w:hint="eastAsia" w:ascii="仿宋" w:hAnsi="仿宋" w:eastAsia="仿宋"/>
          <w:sz w:val="32"/>
          <w:szCs w:val="32"/>
        </w:rPr>
        <w:t>。具体情况如下：</w:t>
      </w:r>
    </w:p>
    <w:p w14:paraId="04E932B1">
      <w:pPr>
        <w:spacing w:line="600" w:lineRule="exact"/>
        <w:ind w:firstLine="640"/>
        <w:rPr>
          <w:rFonts w:ascii="仿宋" w:hAnsi="仿宋" w:eastAsia="仿宋"/>
          <w:sz w:val="32"/>
          <w:szCs w:val="32"/>
        </w:rPr>
      </w:pPr>
      <w:r>
        <w:rPr>
          <w:rFonts w:hint="eastAsia" w:ascii="仿宋" w:hAnsi="仿宋" w:eastAsia="仿宋"/>
          <w:sz w:val="32"/>
          <w:szCs w:val="32"/>
        </w:rPr>
        <w:t>（图7：“三公”经费财政拨款支出结构）（饼状图）</w:t>
      </w:r>
    </w:p>
    <w:p w14:paraId="6A0B14E5">
      <w:pPr>
        <w:spacing w:line="600" w:lineRule="exact"/>
        <w:ind w:firstLine="640"/>
        <w:rPr>
          <w:rFonts w:hint="eastAsia" w:ascii="仿宋" w:hAnsi="仿宋" w:eastAsia="仿宋" w:cs="Times New Roman"/>
          <w:sz w:val="32"/>
          <w:szCs w:val="32"/>
        </w:rPr>
      </w:pPr>
      <w:r>
        <w:rPr>
          <w:rFonts w:hint="eastAsia" w:ascii="仿宋" w:hAnsi="仿宋" w:eastAsia="仿宋" w:cs="Times New Roman"/>
          <w:sz w:val="32"/>
          <w:szCs w:val="32"/>
        </w:rPr>
        <w:drawing>
          <wp:anchor distT="0" distB="0" distL="114300" distR="114300" simplePos="0" relativeHeight="251665408" behindDoc="0" locked="0" layoutInCell="1" allowOverlap="1">
            <wp:simplePos x="0" y="0"/>
            <wp:positionH relativeFrom="column">
              <wp:posOffset>433705</wp:posOffset>
            </wp:positionH>
            <wp:positionV relativeFrom="paragraph">
              <wp:posOffset>111125</wp:posOffset>
            </wp:positionV>
            <wp:extent cx="4493895" cy="2727960"/>
            <wp:effectExtent l="4445" t="4445" r="12700" b="10795"/>
            <wp:wrapNone/>
            <wp:docPr id="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43C01D7C">
      <w:pPr>
        <w:spacing w:line="600" w:lineRule="exact"/>
        <w:ind w:firstLine="640"/>
        <w:rPr>
          <w:rFonts w:hint="eastAsia" w:ascii="仿宋" w:hAnsi="仿宋" w:eastAsia="仿宋" w:cs="Times New Roman"/>
          <w:sz w:val="32"/>
          <w:szCs w:val="32"/>
        </w:rPr>
      </w:pPr>
    </w:p>
    <w:p w14:paraId="16DA5CBC">
      <w:pPr>
        <w:spacing w:line="600" w:lineRule="exact"/>
        <w:ind w:firstLine="640"/>
        <w:rPr>
          <w:rFonts w:hint="eastAsia" w:ascii="仿宋" w:hAnsi="仿宋" w:eastAsia="仿宋" w:cs="Times New Roman"/>
          <w:sz w:val="32"/>
          <w:szCs w:val="32"/>
        </w:rPr>
      </w:pPr>
    </w:p>
    <w:p w14:paraId="675F350B">
      <w:pPr>
        <w:spacing w:line="600" w:lineRule="exact"/>
        <w:ind w:firstLine="640"/>
        <w:rPr>
          <w:rFonts w:hint="eastAsia" w:ascii="仿宋" w:hAnsi="仿宋" w:eastAsia="仿宋" w:cs="Times New Roman"/>
          <w:sz w:val="32"/>
          <w:szCs w:val="32"/>
        </w:rPr>
      </w:pPr>
    </w:p>
    <w:p w14:paraId="61F6FC77">
      <w:pPr>
        <w:spacing w:line="600" w:lineRule="exact"/>
        <w:ind w:firstLine="640"/>
        <w:rPr>
          <w:rFonts w:hint="eastAsia" w:ascii="仿宋" w:hAnsi="仿宋" w:eastAsia="仿宋" w:cs="Times New Roman"/>
          <w:sz w:val="32"/>
          <w:szCs w:val="32"/>
        </w:rPr>
      </w:pPr>
    </w:p>
    <w:p w14:paraId="0EDFABD1">
      <w:pPr>
        <w:spacing w:line="600" w:lineRule="exact"/>
        <w:ind w:firstLine="640"/>
        <w:rPr>
          <w:rFonts w:hint="eastAsia" w:ascii="仿宋" w:hAnsi="仿宋" w:eastAsia="仿宋" w:cs="Times New Roman"/>
          <w:sz w:val="32"/>
          <w:szCs w:val="32"/>
        </w:rPr>
      </w:pPr>
    </w:p>
    <w:p w14:paraId="7E94D9DA">
      <w:pPr>
        <w:spacing w:line="600" w:lineRule="exact"/>
        <w:ind w:firstLine="640"/>
        <w:rPr>
          <w:rFonts w:hint="eastAsia" w:ascii="仿宋" w:hAnsi="仿宋" w:eastAsia="仿宋" w:cs="Times New Roman"/>
          <w:sz w:val="32"/>
          <w:szCs w:val="32"/>
        </w:rPr>
      </w:pPr>
    </w:p>
    <w:p w14:paraId="2EA8B886"/>
    <w:p w14:paraId="3AF32B02">
      <w:pPr>
        <w:spacing w:line="600" w:lineRule="exact"/>
        <w:ind w:firstLine="640"/>
        <w:rPr>
          <w:rFonts w:ascii="仿宋_GB2312" w:eastAsia="仿宋_GB2312"/>
          <w:sz w:val="32"/>
          <w:szCs w:val="32"/>
        </w:rPr>
      </w:pPr>
      <w:r>
        <w:rPr>
          <w:rFonts w:ascii="仿宋_GB2312" w:eastAsia="仿宋_GB2312"/>
          <w:b/>
          <w:sz w:val="32"/>
          <w:szCs w:val="32"/>
        </w:rPr>
        <w:t>1.</w:t>
      </w:r>
      <w:r>
        <w:rPr>
          <w:rFonts w:hint="eastAsia" w:ascii="仿宋_GB2312" w:eastAsia="仿宋_GB2312"/>
          <w:b/>
          <w:sz w:val="32"/>
          <w:szCs w:val="32"/>
        </w:rPr>
        <w:t>因公出国（境）经费支出</w:t>
      </w:r>
      <w:r>
        <w:rPr>
          <w:sz w:val="32"/>
          <w:szCs w:val="32"/>
        </w:rPr>
        <w:t>0</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sz w:val="32"/>
          <w:szCs w:val="32"/>
        </w:rPr>
        <w:t>0</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全年安排因公出国（境）团组</w:t>
      </w:r>
      <w:r>
        <w:rPr>
          <w:sz w:val="32"/>
          <w:szCs w:val="32"/>
        </w:rPr>
        <w:t>0</w:t>
      </w:r>
      <w:r>
        <w:rPr>
          <w:rFonts w:hint="eastAsia" w:ascii="仿宋_GB2312" w:eastAsia="仿宋_GB2312"/>
          <w:sz w:val="32"/>
          <w:szCs w:val="32"/>
        </w:rPr>
        <w:t>次，出国（境）</w:t>
      </w:r>
      <w:r>
        <w:rPr>
          <w:sz w:val="32"/>
          <w:szCs w:val="32"/>
        </w:rPr>
        <w:t>0</w:t>
      </w:r>
      <w:r>
        <w:rPr>
          <w:rFonts w:hint="eastAsia" w:ascii="仿宋_GB2312" w:eastAsia="仿宋_GB2312"/>
          <w:sz w:val="32"/>
          <w:szCs w:val="32"/>
        </w:rPr>
        <w:t>人。</w:t>
      </w:r>
    </w:p>
    <w:p w14:paraId="0274EB81">
      <w:pPr>
        <w:spacing w:line="600" w:lineRule="exact"/>
        <w:ind w:firstLine="64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公务用车购置及运行维护费支出</w:t>
      </w:r>
      <w:r>
        <w:rPr>
          <w:sz w:val="32"/>
          <w:szCs w:val="32"/>
        </w:rPr>
        <w:t>16.4</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sz w:val="32"/>
          <w:szCs w:val="32"/>
        </w:rPr>
        <w:t>97.64</w:t>
      </w:r>
      <w:r>
        <w:rPr>
          <w:rStyle w:val="18"/>
          <w:rFonts w:ascii="仿宋" w:hAnsi="仿宋" w:eastAsia="仿宋"/>
          <w:b w:val="0"/>
          <w:bCs/>
          <w:sz w:val="32"/>
          <w:szCs w:val="32"/>
        </w:rPr>
        <w:t>%</w:t>
      </w:r>
      <w:r>
        <w:rPr>
          <w:rStyle w:val="18"/>
          <w:rFonts w:hint="eastAsia" w:ascii="仿宋" w:hAnsi="仿宋" w:eastAsia="仿宋"/>
          <w:b w:val="0"/>
          <w:bCs/>
          <w:sz w:val="32"/>
          <w:szCs w:val="32"/>
        </w:rPr>
        <w:t>。</w:t>
      </w:r>
      <w:r>
        <w:rPr>
          <w:rFonts w:hint="eastAsia" w:ascii="仿宋_GB2312" w:eastAsia="仿宋_GB2312"/>
          <w:sz w:val="32"/>
          <w:szCs w:val="32"/>
        </w:rPr>
        <w:t>公务用车购置及运行维护费支出决算比2022年度减少</w:t>
      </w:r>
      <w:r>
        <w:rPr>
          <w:rFonts w:hint="eastAsia" w:ascii="仿宋_GB2312" w:eastAsia="仿宋_GB2312"/>
          <w:sz w:val="32"/>
          <w:szCs w:val="32"/>
          <w:lang w:val="en-US" w:eastAsia="zh-CN"/>
        </w:rPr>
        <w:t>18.41</w:t>
      </w:r>
      <w:r>
        <w:rPr>
          <w:rFonts w:hint="eastAsia" w:ascii="仿宋_GB2312" w:eastAsia="仿宋_GB2312"/>
          <w:sz w:val="32"/>
          <w:szCs w:val="32"/>
        </w:rPr>
        <w:t>万元，下降</w:t>
      </w:r>
      <w:r>
        <w:rPr>
          <w:rFonts w:hint="eastAsia" w:ascii="仿宋_GB2312" w:eastAsia="仿宋_GB2312"/>
          <w:sz w:val="32"/>
          <w:szCs w:val="32"/>
          <w:lang w:val="en-US" w:eastAsia="zh-CN"/>
        </w:rPr>
        <w:t>52.89</w:t>
      </w:r>
      <w:r>
        <w:rPr>
          <w:rFonts w:ascii="仿宋_GB2312" w:eastAsia="仿宋_GB2312"/>
          <w:sz w:val="32"/>
          <w:szCs w:val="32"/>
        </w:rPr>
        <w:t>%</w:t>
      </w:r>
      <w:r>
        <w:rPr>
          <w:rFonts w:hint="eastAsia" w:ascii="仿宋_GB2312" w:eastAsia="仿宋_GB2312"/>
          <w:sz w:val="32"/>
          <w:szCs w:val="32"/>
        </w:rPr>
        <w:t>。主要原因是厉行节俭节约，控制三公经费。</w:t>
      </w:r>
    </w:p>
    <w:p w14:paraId="3BFC70B4">
      <w:pPr>
        <w:spacing w:line="600" w:lineRule="exact"/>
        <w:ind w:firstLine="640" w:firstLineChars="200"/>
        <w:rPr>
          <w:rFonts w:ascii="仿宋_GB2312" w:eastAsia="仿宋_GB2312"/>
          <w:b/>
          <w:sz w:val="32"/>
          <w:szCs w:val="32"/>
          <w:highlight w:val="none"/>
        </w:rPr>
      </w:pPr>
      <w:r>
        <w:rPr>
          <w:rFonts w:hint="eastAsia" w:ascii="仿宋_GB2312" w:eastAsia="仿宋_GB2312"/>
          <w:sz w:val="32"/>
          <w:szCs w:val="32"/>
        </w:rPr>
        <w:t>其中：</w:t>
      </w:r>
      <w:r>
        <w:rPr>
          <w:rFonts w:hint="eastAsia" w:ascii="仿宋_GB2312" w:eastAsia="仿宋_GB2312"/>
          <w:b/>
          <w:sz w:val="32"/>
          <w:szCs w:val="32"/>
        </w:rPr>
        <w:t>公务用车购置支出</w:t>
      </w:r>
      <w:r>
        <w:rPr>
          <w:sz w:val="32"/>
          <w:szCs w:val="32"/>
        </w:rPr>
        <w:t>0</w:t>
      </w:r>
      <w:r>
        <w:rPr>
          <w:rFonts w:hint="eastAsia" w:ascii="仿宋_GB2312" w:eastAsia="仿宋_GB2312"/>
          <w:sz w:val="32"/>
          <w:szCs w:val="32"/>
        </w:rPr>
        <w:t>万元。全年按规定更新购置公务用车</w:t>
      </w:r>
      <w:r>
        <w:rPr>
          <w:rFonts w:hint="eastAsia" w:ascii="仿宋_GB2312" w:eastAsia="仿宋_GB2312"/>
          <w:sz w:val="32"/>
          <w:szCs w:val="32"/>
          <w:lang w:val="en-US" w:eastAsia="zh-CN"/>
        </w:rPr>
        <w:t>0</w:t>
      </w:r>
      <w:r>
        <w:rPr>
          <w:rFonts w:hint="eastAsia" w:ascii="仿宋_GB2312" w:eastAsia="仿宋_GB2312"/>
          <w:sz w:val="32"/>
          <w:szCs w:val="32"/>
        </w:rPr>
        <w:t>辆，其中：轿车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万元，越野车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万元，载客汽车</w:t>
      </w:r>
      <w:r>
        <w:rPr>
          <w:rFonts w:hint="eastAsia" w:ascii="仿宋_GB2312" w:eastAsia="仿宋_GB2312"/>
          <w:sz w:val="32"/>
          <w:szCs w:val="32"/>
          <w:lang w:val="en-US" w:eastAsia="zh-CN"/>
        </w:rPr>
        <w:t>0</w:t>
      </w:r>
      <w:r>
        <w:rPr>
          <w:rFonts w:hint="eastAsia" w:ascii="仿宋_GB2312" w:eastAsia="仿宋_GB2312"/>
          <w:sz w:val="32"/>
          <w:szCs w:val="32"/>
        </w:rPr>
        <w:t>辆、金额</w:t>
      </w:r>
      <w:r>
        <w:rPr>
          <w:rFonts w:hint="eastAsia" w:ascii="仿宋_GB2312" w:eastAsia="仿宋_GB2312"/>
          <w:sz w:val="32"/>
          <w:szCs w:val="32"/>
          <w:lang w:val="en-US" w:eastAsia="zh-CN"/>
        </w:rPr>
        <w:t>0</w:t>
      </w:r>
      <w:r>
        <w:rPr>
          <w:rFonts w:hint="eastAsia" w:ascii="仿宋_GB2312" w:eastAsia="仿宋_GB2312"/>
          <w:sz w:val="32"/>
          <w:szCs w:val="32"/>
        </w:rPr>
        <w:t>万元。截至2023年</w:t>
      </w:r>
      <w:r>
        <w:rPr>
          <w:rFonts w:ascii="仿宋_GB2312" w:eastAsia="仿宋_GB2312"/>
          <w:sz w:val="32"/>
          <w:szCs w:val="32"/>
        </w:rPr>
        <w:t>12</w:t>
      </w:r>
      <w:r>
        <w:rPr>
          <w:rFonts w:hint="eastAsia" w:ascii="仿宋_GB2312" w:eastAsia="仿宋_GB2312"/>
          <w:sz w:val="32"/>
          <w:szCs w:val="32"/>
        </w:rPr>
        <w:t>月31日，单位共有公务用车</w:t>
      </w:r>
      <w:r>
        <w:rPr>
          <w:rFonts w:hint="eastAsia" w:ascii="仿宋_GB2312" w:eastAsia="仿宋_GB2312"/>
          <w:sz w:val="32"/>
          <w:szCs w:val="32"/>
          <w:lang w:val="en-US" w:eastAsia="zh-CN"/>
        </w:rPr>
        <w:t>7</w:t>
      </w:r>
      <w:r>
        <w:rPr>
          <w:rFonts w:hint="eastAsia" w:ascii="仿宋_GB2312" w:eastAsia="仿宋_GB2312"/>
          <w:sz w:val="32"/>
          <w:szCs w:val="32"/>
        </w:rPr>
        <w:t>辆，其中：</w:t>
      </w:r>
      <w:r>
        <w:rPr>
          <w:rFonts w:hint="eastAsia" w:ascii="仿宋_GB2312" w:eastAsia="仿宋_GB2312"/>
          <w:sz w:val="32"/>
          <w:szCs w:val="32"/>
          <w:highlight w:val="none"/>
        </w:rPr>
        <w:t>轿车</w:t>
      </w:r>
      <w:r>
        <w:rPr>
          <w:rFonts w:hint="eastAsia" w:ascii="仿宋_GB2312" w:eastAsia="仿宋_GB2312"/>
          <w:sz w:val="32"/>
          <w:szCs w:val="32"/>
          <w:highlight w:val="none"/>
          <w:lang w:val="en-US" w:eastAsia="zh-CN"/>
        </w:rPr>
        <w:t>6</w:t>
      </w:r>
      <w:r>
        <w:rPr>
          <w:rFonts w:hint="eastAsia" w:ascii="仿宋_GB2312" w:eastAsia="仿宋_GB2312"/>
          <w:sz w:val="32"/>
          <w:szCs w:val="32"/>
          <w:highlight w:val="none"/>
        </w:rPr>
        <w:t>辆、越野车</w:t>
      </w:r>
      <w:r>
        <w:rPr>
          <w:rFonts w:hint="eastAsia" w:ascii="仿宋_GB2312" w:eastAsia="仿宋_GB2312"/>
          <w:sz w:val="32"/>
          <w:szCs w:val="32"/>
          <w:highlight w:val="none"/>
          <w:lang w:val="en-US" w:eastAsia="zh-CN"/>
        </w:rPr>
        <w:t>0</w:t>
      </w:r>
      <w:r>
        <w:rPr>
          <w:rFonts w:hint="eastAsia" w:ascii="仿宋_GB2312" w:eastAsia="仿宋_GB2312"/>
          <w:sz w:val="32"/>
          <w:szCs w:val="32"/>
          <w:highlight w:val="none"/>
        </w:rPr>
        <w:t>辆、载客汽车</w:t>
      </w:r>
      <w:r>
        <w:rPr>
          <w:rFonts w:hint="eastAsia" w:ascii="仿宋_GB2312" w:eastAsia="仿宋_GB2312"/>
          <w:sz w:val="32"/>
          <w:szCs w:val="32"/>
          <w:highlight w:val="none"/>
          <w:lang w:val="en-US" w:eastAsia="zh-CN"/>
        </w:rPr>
        <w:t>0</w:t>
      </w:r>
      <w:r>
        <w:rPr>
          <w:rFonts w:hint="eastAsia" w:ascii="仿宋_GB2312" w:eastAsia="仿宋_GB2312"/>
          <w:sz w:val="32"/>
          <w:szCs w:val="32"/>
          <w:highlight w:val="none"/>
        </w:rPr>
        <w:t>辆</w:t>
      </w:r>
      <w:r>
        <w:rPr>
          <w:rFonts w:hint="eastAsia" w:ascii="仿宋_GB2312" w:eastAsia="仿宋_GB2312"/>
          <w:sz w:val="32"/>
          <w:szCs w:val="32"/>
          <w:highlight w:val="none"/>
          <w:lang w:eastAsia="zh-CN"/>
        </w:rPr>
        <w:t>、特种专业技术用车</w:t>
      </w:r>
      <w:r>
        <w:rPr>
          <w:rFonts w:hint="eastAsia" w:ascii="仿宋_GB2312" w:eastAsia="仿宋_GB2312"/>
          <w:sz w:val="32"/>
          <w:szCs w:val="32"/>
          <w:highlight w:val="none"/>
          <w:lang w:val="en-US" w:eastAsia="zh-CN"/>
        </w:rPr>
        <w:t>1辆</w:t>
      </w:r>
      <w:r>
        <w:rPr>
          <w:rFonts w:hint="eastAsia" w:ascii="仿宋_GB2312" w:eastAsia="仿宋_GB2312"/>
          <w:sz w:val="32"/>
          <w:szCs w:val="32"/>
          <w:highlight w:val="none"/>
        </w:rPr>
        <w:t>。</w:t>
      </w:r>
    </w:p>
    <w:p w14:paraId="6ACDFC31">
      <w:pPr>
        <w:spacing w:line="600" w:lineRule="exact"/>
        <w:ind w:firstLine="640"/>
        <w:rPr>
          <w:rFonts w:ascii="仿宋_GB2312" w:eastAsia="仿宋_GB2312"/>
          <w:sz w:val="32"/>
          <w:szCs w:val="32"/>
        </w:rPr>
      </w:pPr>
      <w:r>
        <w:rPr>
          <w:rFonts w:hint="eastAsia" w:ascii="仿宋_GB2312" w:eastAsia="仿宋_GB2312"/>
          <w:b/>
          <w:sz w:val="32"/>
          <w:szCs w:val="32"/>
        </w:rPr>
        <w:t>公务用车运行维护费支出</w:t>
      </w:r>
      <w:r>
        <w:rPr>
          <w:sz w:val="32"/>
          <w:szCs w:val="32"/>
        </w:rPr>
        <w:t>16.4</w:t>
      </w:r>
      <w:r>
        <w:rPr>
          <w:rFonts w:hint="eastAsia" w:ascii="仿宋_GB2312" w:eastAsia="仿宋_GB2312"/>
          <w:sz w:val="32"/>
          <w:szCs w:val="32"/>
        </w:rPr>
        <w:t>万元。主要用于</w:t>
      </w:r>
      <w:r>
        <w:rPr>
          <w:rFonts w:hint="eastAsia" w:ascii="仿宋_GB2312" w:hAnsi="Times New Roman" w:eastAsia="仿宋_GB2312" w:cs="Times New Roman"/>
          <w:color w:val="auto"/>
          <w:sz w:val="32"/>
          <w:szCs w:val="32"/>
          <w:highlight w:val="none"/>
          <w:lang w:val="en-US" w:eastAsia="zh-CN"/>
        </w:rPr>
        <w:t>单位开展国省干线公路、农村公路等路网规划和建设，公路客货运站场规划和建设，水运通道及港口规划和建设，公路养护和航道维护，交通建设市场监管，公路和水路运输管理，公路路政管理，航务管理，海事管理，公路水路安全生产和应急管理，抢险救灾，公路水路和运输信息化建设，生态环保，公路建设质量监督等工作的开展所需的公务用车燃料费、维修费、过路过桥费、保险费等支出</w:t>
      </w:r>
      <w:r>
        <w:rPr>
          <w:rFonts w:hint="eastAsia" w:ascii="仿宋_GB2312" w:eastAsia="仿宋_GB2312"/>
          <w:sz w:val="32"/>
          <w:szCs w:val="32"/>
        </w:rPr>
        <w:t>。</w:t>
      </w:r>
    </w:p>
    <w:p w14:paraId="1EB848B2">
      <w:pPr>
        <w:spacing w:line="600" w:lineRule="exact"/>
        <w:ind w:firstLine="640"/>
        <w:rPr>
          <w:rFonts w:ascii="仿宋_GB2312" w:eastAsia="仿宋_GB2312"/>
          <w:sz w:val="32"/>
          <w:szCs w:val="32"/>
        </w:rPr>
      </w:pPr>
      <w:r>
        <w:rPr>
          <w:rFonts w:ascii="仿宋_GB2312" w:eastAsia="仿宋_GB2312"/>
          <w:b/>
          <w:sz w:val="32"/>
          <w:szCs w:val="32"/>
        </w:rPr>
        <w:t>3.</w:t>
      </w:r>
      <w:r>
        <w:rPr>
          <w:rFonts w:hint="eastAsia" w:ascii="仿宋_GB2312" w:eastAsia="仿宋_GB2312"/>
          <w:b/>
          <w:sz w:val="32"/>
          <w:szCs w:val="32"/>
        </w:rPr>
        <w:t>公务接待费支出</w:t>
      </w:r>
      <w:r>
        <w:rPr>
          <w:sz w:val="32"/>
          <w:szCs w:val="32"/>
        </w:rPr>
        <w:t>4.22</w:t>
      </w:r>
      <w:r>
        <w:rPr>
          <w:rFonts w:hint="eastAsia" w:ascii="仿宋_GB2312" w:eastAsia="仿宋_GB2312"/>
          <w:sz w:val="32"/>
          <w:szCs w:val="32"/>
        </w:rPr>
        <w:t>万元，</w:t>
      </w:r>
      <w:r>
        <w:rPr>
          <w:rStyle w:val="18"/>
          <w:rFonts w:hint="eastAsia" w:ascii="仿宋" w:hAnsi="仿宋" w:eastAsia="仿宋"/>
          <w:b w:val="0"/>
          <w:bCs/>
          <w:sz w:val="32"/>
          <w:szCs w:val="32"/>
        </w:rPr>
        <w:t>完成预算</w:t>
      </w:r>
      <w:r>
        <w:rPr>
          <w:sz w:val="32"/>
          <w:szCs w:val="32"/>
        </w:rPr>
        <w:t>84.71%</w:t>
      </w:r>
      <w:r>
        <w:rPr>
          <w:rStyle w:val="18"/>
          <w:rFonts w:hint="eastAsia" w:ascii="仿宋" w:hAnsi="仿宋" w:eastAsia="仿宋"/>
          <w:b w:val="0"/>
          <w:bCs/>
          <w:sz w:val="32"/>
          <w:szCs w:val="32"/>
        </w:rPr>
        <w:t>。</w:t>
      </w:r>
      <w:r>
        <w:rPr>
          <w:rFonts w:hint="eastAsia" w:ascii="仿宋_GB2312" w:eastAsia="仿宋_GB2312"/>
          <w:sz w:val="32"/>
          <w:szCs w:val="32"/>
        </w:rPr>
        <w:t>公务接待费支出决算比2022年度减少</w:t>
      </w:r>
      <w:r>
        <w:rPr>
          <w:rFonts w:hint="eastAsia" w:ascii="仿宋_GB2312" w:eastAsia="仿宋_GB2312"/>
          <w:sz w:val="32"/>
          <w:szCs w:val="32"/>
          <w:lang w:val="en-US" w:eastAsia="zh-CN"/>
        </w:rPr>
        <w:t>2.16</w:t>
      </w:r>
      <w:r>
        <w:rPr>
          <w:rFonts w:hint="eastAsia" w:ascii="仿宋_GB2312" w:eastAsia="仿宋_GB2312"/>
          <w:sz w:val="32"/>
          <w:szCs w:val="32"/>
        </w:rPr>
        <w:t>万元，下降</w:t>
      </w:r>
      <w:r>
        <w:rPr>
          <w:rFonts w:hint="eastAsia" w:ascii="仿宋_GB2312" w:eastAsia="仿宋_GB2312"/>
          <w:sz w:val="32"/>
          <w:szCs w:val="32"/>
          <w:lang w:val="en-US" w:eastAsia="zh-CN"/>
        </w:rPr>
        <w:t>33.85</w:t>
      </w:r>
      <w:r>
        <w:rPr>
          <w:rFonts w:ascii="仿宋_GB2312" w:eastAsia="仿宋_GB2312"/>
          <w:sz w:val="32"/>
          <w:szCs w:val="32"/>
        </w:rPr>
        <w:t>%</w:t>
      </w:r>
      <w:r>
        <w:rPr>
          <w:rFonts w:hint="eastAsia" w:ascii="仿宋_GB2312" w:eastAsia="仿宋_GB2312"/>
          <w:sz w:val="32"/>
          <w:szCs w:val="32"/>
        </w:rPr>
        <w:t>。主要原因是厉行节俭节约，控制三公经费。其中：</w:t>
      </w:r>
    </w:p>
    <w:p w14:paraId="07178B3B">
      <w:pPr>
        <w:spacing w:line="600" w:lineRule="exact"/>
        <w:ind w:firstLine="640"/>
        <w:rPr>
          <w:rFonts w:ascii="仿宋_GB2312" w:eastAsia="仿宋_GB2312"/>
          <w:sz w:val="32"/>
          <w:szCs w:val="32"/>
        </w:rPr>
      </w:pPr>
      <w:r>
        <w:rPr>
          <w:rFonts w:hint="eastAsia" w:ascii="仿宋" w:hAnsi="仿宋" w:eastAsia="仿宋"/>
          <w:b/>
          <w:sz w:val="32"/>
          <w:szCs w:val="32"/>
        </w:rPr>
        <w:t>国内公务接待支出</w:t>
      </w:r>
      <w:r>
        <w:rPr>
          <w:rFonts w:hint="eastAsia" w:ascii="仿宋" w:hAnsi="仿宋" w:eastAsia="仿宋"/>
          <w:b/>
          <w:sz w:val="32"/>
          <w:szCs w:val="32"/>
          <w:lang w:val="en-US" w:eastAsia="zh-CN"/>
        </w:rPr>
        <w:t>4.22</w:t>
      </w:r>
      <w:r>
        <w:rPr>
          <w:rFonts w:hint="eastAsia" w:ascii="仿宋_GB2312" w:eastAsia="仿宋_GB2312"/>
          <w:sz w:val="32"/>
          <w:szCs w:val="32"/>
        </w:rPr>
        <w:t>万元，主要用于</w:t>
      </w:r>
      <w:r>
        <w:rPr>
          <w:rStyle w:val="36"/>
          <w:rFonts w:hint="eastAsia" w:ascii="仿宋_GB2312" w:hAnsi="仿宋_GB2312" w:eastAsia="仿宋_GB2312"/>
          <w:sz w:val="32"/>
          <w:szCs w:val="22"/>
          <w:highlight w:val="none"/>
          <w:lang w:eastAsia="zh-CN"/>
        </w:rPr>
        <w:t>上级单位工作检查接待、外市交运系统单位来我局交流考察接待、相关单位交运工作交流接待、交通项目考察接待，以及专家对我局交通项目相关审核审查评定等公务活动开支的相关费用</w:t>
      </w:r>
      <w:r>
        <w:rPr>
          <w:rFonts w:hint="eastAsia" w:ascii="仿宋_GB2312" w:eastAsia="仿宋_GB2312"/>
          <w:sz w:val="32"/>
          <w:szCs w:val="32"/>
        </w:rPr>
        <w:t>。</w:t>
      </w:r>
      <w:r>
        <w:rPr>
          <w:rFonts w:hint="eastAsia" w:ascii="仿宋_GB2312" w:eastAsia="仿宋_GB2312"/>
          <w:color w:val="auto"/>
          <w:sz w:val="32"/>
          <w:szCs w:val="32"/>
          <w:highlight w:val="none"/>
        </w:rPr>
        <w:t>国内公务接待</w:t>
      </w:r>
      <w:r>
        <w:rPr>
          <w:rFonts w:hint="eastAsia" w:ascii="仿宋_GB2312" w:eastAsia="仿宋_GB2312"/>
          <w:color w:val="auto"/>
          <w:sz w:val="32"/>
          <w:szCs w:val="32"/>
          <w:highlight w:val="none"/>
          <w:lang w:val="en-US" w:eastAsia="zh-CN"/>
        </w:rPr>
        <w:t>66</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417</w:t>
      </w:r>
      <w:r>
        <w:rPr>
          <w:rFonts w:hint="eastAsia" w:ascii="仿宋_GB2312" w:eastAsia="仿宋_GB2312"/>
          <w:color w:val="auto"/>
          <w:sz w:val="32"/>
          <w:szCs w:val="32"/>
          <w:highlight w:val="none"/>
        </w:rPr>
        <w:t>人次（不包括陪同人员），</w:t>
      </w:r>
      <w:r>
        <w:rPr>
          <w:rFonts w:hint="eastAsia" w:ascii="仿宋_GB2312" w:eastAsia="仿宋_GB2312"/>
          <w:sz w:val="32"/>
          <w:szCs w:val="32"/>
        </w:rPr>
        <w:t>共计支出</w:t>
      </w:r>
      <w:r>
        <w:rPr>
          <w:rFonts w:hint="eastAsia" w:ascii="仿宋_GB2312" w:eastAsia="仿宋_GB2312"/>
          <w:sz w:val="32"/>
          <w:szCs w:val="32"/>
          <w:lang w:val="en-US" w:eastAsia="zh-CN"/>
        </w:rPr>
        <w:t>4.22</w:t>
      </w:r>
      <w:r>
        <w:rPr>
          <w:rFonts w:hint="eastAsia" w:ascii="仿宋_GB2312" w:eastAsia="仿宋_GB2312"/>
          <w:sz w:val="32"/>
          <w:szCs w:val="32"/>
        </w:rPr>
        <w:t>万元，具体内容包括：</w:t>
      </w:r>
      <w:r>
        <w:rPr>
          <w:rFonts w:hint="eastAsia" w:ascii="仿宋_GB2312" w:eastAsia="仿宋_GB2312"/>
          <w:color w:val="auto"/>
          <w:sz w:val="32"/>
          <w:szCs w:val="32"/>
          <w:highlight w:val="none"/>
          <w:lang w:val="en-US" w:eastAsia="zh-CN"/>
        </w:rPr>
        <w:t>上级主管部门综合督查、省厅调研交通工作、相关单位学习考察交通工作等</w:t>
      </w:r>
      <w:r>
        <w:rPr>
          <w:rFonts w:hint="eastAsia" w:ascii="仿宋_GB2312" w:eastAsia="仿宋_GB2312"/>
          <w:sz w:val="32"/>
          <w:szCs w:val="32"/>
        </w:rPr>
        <w:t>。</w:t>
      </w:r>
    </w:p>
    <w:p w14:paraId="78770EDF">
      <w:pPr>
        <w:spacing w:line="600" w:lineRule="exact"/>
        <w:ind w:firstLine="643" w:firstLineChars="200"/>
        <w:rPr>
          <w:rFonts w:hint="eastAsia" w:ascii="仿宋_GB2312" w:eastAsia="仿宋_GB2312"/>
          <w:sz w:val="32"/>
          <w:szCs w:val="32"/>
          <w:lang w:eastAsia="zh-CN"/>
        </w:rPr>
      </w:pPr>
      <w:r>
        <w:rPr>
          <w:rFonts w:hint="eastAsia" w:ascii="仿宋" w:hAnsi="仿宋" w:eastAsia="仿宋"/>
          <w:b/>
          <w:sz w:val="32"/>
          <w:szCs w:val="32"/>
        </w:rPr>
        <w:t>外事接待支出</w:t>
      </w:r>
      <w:r>
        <w:rPr>
          <w:rFonts w:hint="eastAsia" w:ascii="仿宋" w:hAnsi="仿宋" w:eastAsia="仿宋"/>
          <w:b/>
          <w:sz w:val="32"/>
          <w:szCs w:val="32"/>
          <w:lang w:val="en-US" w:eastAsia="zh-CN"/>
        </w:rPr>
        <w:t>0</w:t>
      </w:r>
      <w:r>
        <w:rPr>
          <w:rFonts w:hint="eastAsia" w:ascii="仿宋_GB2312" w:eastAsia="仿宋_GB2312"/>
          <w:sz w:val="32"/>
          <w:szCs w:val="32"/>
        </w:rPr>
        <w:t>万元</w:t>
      </w:r>
      <w:r>
        <w:rPr>
          <w:rFonts w:hint="eastAsia" w:ascii="仿宋_GB2312" w:eastAsia="仿宋_GB2312"/>
          <w:sz w:val="32"/>
          <w:szCs w:val="32"/>
          <w:lang w:eastAsia="zh-CN"/>
        </w:rPr>
        <w:t>。</w:t>
      </w:r>
    </w:p>
    <w:p w14:paraId="5C02AFC0">
      <w:pPr>
        <w:spacing w:line="600" w:lineRule="exact"/>
        <w:ind w:firstLine="640"/>
        <w:outlineLvl w:val="1"/>
        <w:rPr>
          <w:rStyle w:val="30"/>
          <w:rFonts w:ascii="黑体" w:hAnsi="黑体" w:eastAsia="黑体"/>
        </w:rPr>
      </w:pPr>
      <w:bookmarkStart w:id="72" w:name="_Toc15396610"/>
      <w:bookmarkStart w:id="73" w:name="_Toc15377218"/>
      <w:bookmarkStart w:id="74" w:name="_Toc14302"/>
      <w:bookmarkStart w:id="75" w:name="_Toc3185"/>
      <w:r>
        <w:rPr>
          <w:rFonts w:hint="eastAsia" w:ascii="黑体" w:eastAsia="黑体"/>
          <w:sz w:val="32"/>
          <w:szCs w:val="32"/>
        </w:rPr>
        <w:t>八、</w:t>
      </w:r>
      <w:r>
        <w:rPr>
          <w:rStyle w:val="30"/>
          <w:rFonts w:hint="eastAsia" w:ascii="黑体" w:hAnsi="黑体" w:eastAsia="黑体"/>
          <w:b w:val="0"/>
        </w:rPr>
        <w:t>政府性基金预算支出决算情况说明</w:t>
      </w:r>
      <w:bookmarkEnd w:id="72"/>
      <w:bookmarkEnd w:id="73"/>
      <w:bookmarkEnd w:id="74"/>
      <w:bookmarkEnd w:id="75"/>
    </w:p>
    <w:p w14:paraId="4EC062F9">
      <w:pPr>
        <w:spacing w:line="600" w:lineRule="exact"/>
        <w:ind w:firstLine="640"/>
        <w:rPr>
          <w:rFonts w:ascii="仿宋_GB2312" w:eastAsia="仿宋_GB2312"/>
          <w:sz w:val="32"/>
          <w:szCs w:val="32"/>
        </w:rPr>
      </w:pPr>
      <w:r>
        <w:rPr>
          <w:rFonts w:hint="eastAsia" w:ascii="仿宋_GB2312" w:eastAsia="仿宋_GB2312"/>
          <w:sz w:val="32"/>
          <w:szCs w:val="32"/>
        </w:rPr>
        <w:t>2023年度政府性基金预算财政拨款支出</w:t>
      </w:r>
      <w:r>
        <w:rPr>
          <w:sz w:val="32"/>
          <w:szCs w:val="32"/>
        </w:rPr>
        <w:t>0</w:t>
      </w:r>
      <w:r>
        <w:rPr>
          <w:rFonts w:hint="eastAsia" w:ascii="仿宋_GB2312" w:eastAsia="仿宋_GB2312"/>
          <w:sz w:val="32"/>
          <w:szCs w:val="32"/>
        </w:rPr>
        <w:t>万元。</w:t>
      </w:r>
    </w:p>
    <w:p w14:paraId="0CA59611">
      <w:pPr>
        <w:numPr>
          <w:ilvl w:val="0"/>
          <w:numId w:val="3"/>
        </w:numPr>
        <w:spacing w:line="600" w:lineRule="exact"/>
        <w:ind w:firstLine="640"/>
        <w:outlineLvl w:val="1"/>
        <w:rPr>
          <w:rStyle w:val="30"/>
          <w:rFonts w:ascii="黑体" w:hAnsi="黑体" w:eastAsia="黑体"/>
          <w:b w:val="0"/>
        </w:rPr>
      </w:pPr>
      <w:bookmarkStart w:id="76" w:name="_Toc15377219"/>
      <w:bookmarkStart w:id="77" w:name="_Toc15396611"/>
      <w:bookmarkStart w:id="78" w:name="_Toc6211"/>
      <w:bookmarkStart w:id="79" w:name="_Toc24618"/>
      <w:r>
        <w:rPr>
          <w:rStyle w:val="30"/>
          <w:rFonts w:hint="eastAsia" w:ascii="黑体" w:hAnsi="黑体" w:eastAsia="黑体"/>
          <w:b w:val="0"/>
        </w:rPr>
        <w:t>国有资本经营预算支出决算情况说明</w:t>
      </w:r>
      <w:bookmarkEnd w:id="76"/>
      <w:bookmarkEnd w:id="77"/>
      <w:bookmarkEnd w:id="78"/>
      <w:bookmarkEnd w:id="79"/>
    </w:p>
    <w:p w14:paraId="719BB741">
      <w:pPr>
        <w:spacing w:line="600" w:lineRule="exact"/>
        <w:ind w:firstLine="640"/>
        <w:rPr>
          <w:rFonts w:ascii="仿宋_GB2312" w:eastAsia="仿宋_GB2312"/>
          <w:sz w:val="32"/>
          <w:szCs w:val="32"/>
        </w:rPr>
      </w:pPr>
      <w:r>
        <w:rPr>
          <w:rFonts w:hint="eastAsia" w:ascii="仿宋_GB2312" w:eastAsia="仿宋_GB2312"/>
          <w:sz w:val="32"/>
          <w:szCs w:val="32"/>
        </w:rPr>
        <w:t>2023年度国有资本经营预算财政拨款支出</w:t>
      </w:r>
      <w:r>
        <w:rPr>
          <w:sz w:val="32"/>
          <w:szCs w:val="32"/>
        </w:rPr>
        <w:t>0</w:t>
      </w:r>
      <w:r>
        <w:rPr>
          <w:rFonts w:hint="eastAsia" w:ascii="仿宋_GB2312" w:eastAsia="仿宋_GB2312"/>
          <w:sz w:val="32"/>
          <w:szCs w:val="32"/>
        </w:rPr>
        <w:t>万元。</w:t>
      </w:r>
    </w:p>
    <w:p w14:paraId="21EE38D7">
      <w:pPr>
        <w:numPr>
          <w:ilvl w:val="0"/>
          <w:numId w:val="3"/>
        </w:numPr>
        <w:spacing w:line="600" w:lineRule="exact"/>
        <w:ind w:firstLine="640"/>
        <w:outlineLvl w:val="1"/>
        <w:rPr>
          <w:rStyle w:val="30"/>
          <w:rFonts w:ascii="黑体" w:hAnsi="黑体" w:eastAsia="黑体"/>
          <w:b w:val="0"/>
        </w:rPr>
      </w:pPr>
      <w:bookmarkStart w:id="80" w:name="_Toc15396612"/>
      <w:bookmarkStart w:id="81" w:name="_Toc15377221"/>
      <w:bookmarkStart w:id="82" w:name="_Toc21002"/>
      <w:bookmarkStart w:id="83" w:name="_Toc19988"/>
      <w:r>
        <w:rPr>
          <w:rStyle w:val="30"/>
          <w:rFonts w:hint="eastAsia" w:ascii="黑体" w:hAnsi="黑体" w:eastAsia="黑体"/>
          <w:b w:val="0"/>
        </w:rPr>
        <w:t>其他重要事项的情况说明</w:t>
      </w:r>
      <w:bookmarkEnd w:id="80"/>
      <w:bookmarkEnd w:id="81"/>
      <w:bookmarkEnd w:id="82"/>
      <w:bookmarkEnd w:id="83"/>
    </w:p>
    <w:p w14:paraId="7DCE4557">
      <w:pPr>
        <w:spacing w:line="600" w:lineRule="exact"/>
        <w:ind w:firstLine="643" w:firstLineChars="200"/>
        <w:outlineLvl w:val="2"/>
        <w:rPr>
          <w:rFonts w:ascii="仿宋" w:hAnsi="仿宋" w:eastAsia="仿宋"/>
          <w:sz w:val="32"/>
          <w:szCs w:val="32"/>
        </w:rPr>
      </w:pPr>
      <w:bookmarkStart w:id="84" w:name="_Toc15377222"/>
      <w:r>
        <w:rPr>
          <w:rFonts w:hint="eastAsia" w:ascii="仿宋" w:hAnsi="仿宋" w:eastAsia="仿宋"/>
          <w:b/>
          <w:sz w:val="32"/>
          <w:szCs w:val="32"/>
        </w:rPr>
        <w:t>（一）机关运行经费支出情况</w:t>
      </w:r>
      <w:bookmarkEnd w:id="84"/>
    </w:p>
    <w:p w14:paraId="08462069">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射洪市交通运输局</w:t>
      </w:r>
      <w:r>
        <w:rPr>
          <w:rFonts w:hint="eastAsia" w:ascii="仿宋_GB2312" w:eastAsia="仿宋_GB2312"/>
          <w:sz w:val="32"/>
          <w:szCs w:val="32"/>
        </w:rPr>
        <w:t>机关运行经费支出</w:t>
      </w:r>
      <w:r>
        <w:rPr>
          <w:sz w:val="32"/>
          <w:szCs w:val="32"/>
        </w:rPr>
        <w:t>216.57</w:t>
      </w:r>
      <w:r>
        <w:rPr>
          <w:rFonts w:hint="eastAsia" w:ascii="仿宋_GB2312" w:eastAsia="仿宋_GB2312"/>
          <w:sz w:val="32"/>
          <w:szCs w:val="32"/>
        </w:rPr>
        <w:t>万元，比2022年度减少</w:t>
      </w:r>
      <w:r>
        <w:rPr>
          <w:rFonts w:hint="eastAsia" w:ascii="仿宋_GB2312" w:eastAsia="仿宋_GB2312"/>
          <w:sz w:val="32"/>
          <w:szCs w:val="32"/>
          <w:lang w:val="en-US" w:eastAsia="zh-CN"/>
        </w:rPr>
        <w:t>181.11</w:t>
      </w:r>
      <w:r>
        <w:rPr>
          <w:rFonts w:hint="eastAsia" w:ascii="仿宋_GB2312" w:eastAsia="仿宋_GB2312"/>
          <w:sz w:val="32"/>
          <w:szCs w:val="32"/>
        </w:rPr>
        <w:t>万元，下降</w:t>
      </w:r>
      <w:r>
        <w:rPr>
          <w:rFonts w:hint="eastAsia" w:ascii="仿宋_GB2312" w:eastAsia="仿宋_GB2312"/>
          <w:sz w:val="32"/>
          <w:szCs w:val="32"/>
          <w:lang w:val="en-US" w:eastAsia="zh-CN"/>
        </w:rPr>
        <w:t>45.54</w:t>
      </w:r>
      <w:r>
        <w:rPr>
          <w:rFonts w:ascii="仿宋_GB2312" w:eastAsia="仿宋_GB2312"/>
          <w:sz w:val="32"/>
          <w:szCs w:val="32"/>
        </w:rPr>
        <w:t>%</w:t>
      </w:r>
      <w:r>
        <w:rPr>
          <w:rFonts w:hint="eastAsia" w:ascii="仿宋_GB2312" w:eastAsia="仿宋_GB2312"/>
          <w:sz w:val="32"/>
          <w:szCs w:val="32"/>
        </w:rPr>
        <w:t>。主要原因是</w:t>
      </w:r>
      <w:r>
        <w:rPr>
          <w:rFonts w:hint="eastAsia" w:ascii="仿宋_GB2312" w:eastAsia="仿宋_GB2312"/>
          <w:sz w:val="32"/>
          <w:szCs w:val="32"/>
          <w:lang w:val="en-US" w:eastAsia="zh-CN"/>
        </w:rPr>
        <w:t>运管所2022年增加农村客运车辆保险补贴</w:t>
      </w:r>
      <w:r>
        <w:rPr>
          <w:rFonts w:hint="eastAsia" w:ascii="仿宋_GB2312" w:eastAsia="仿宋_GB2312"/>
          <w:sz w:val="32"/>
          <w:szCs w:val="32"/>
        </w:rPr>
        <w:t>。</w:t>
      </w:r>
    </w:p>
    <w:p w14:paraId="620362A3">
      <w:pPr>
        <w:autoSpaceDE w:val="0"/>
        <w:autoSpaceDN w:val="0"/>
        <w:adjustRightInd w:val="0"/>
        <w:spacing w:line="600" w:lineRule="exact"/>
        <w:ind w:firstLine="643" w:firstLineChars="200"/>
        <w:jc w:val="left"/>
        <w:outlineLvl w:val="2"/>
        <w:rPr>
          <w:rFonts w:ascii="仿宋" w:hAnsi="仿宋" w:eastAsia="仿宋"/>
          <w:b/>
          <w:sz w:val="32"/>
          <w:szCs w:val="32"/>
        </w:rPr>
      </w:pPr>
      <w:bookmarkStart w:id="85" w:name="_Toc15377223"/>
      <w:r>
        <w:rPr>
          <w:rFonts w:hint="eastAsia" w:ascii="仿宋" w:hAnsi="仿宋" w:eastAsia="仿宋"/>
          <w:b/>
          <w:sz w:val="32"/>
          <w:szCs w:val="32"/>
        </w:rPr>
        <w:t>（二）政府采购支出情况</w:t>
      </w:r>
      <w:bookmarkEnd w:id="85"/>
    </w:p>
    <w:p w14:paraId="7EA2B771">
      <w:pPr>
        <w:spacing w:line="600" w:lineRule="exact"/>
        <w:ind w:firstLine="640" w:firstLineChars="200"/>
        <w:rPr>
          <w:rFonts w:ascii="仿宋_GB2312" w:eastAsia="仿宋_GB2312"/>
          <w:sz w:val="32"/>
          <w:szCs w:val="32"/>
        </w:rPr>
      </w:pPr>
      <w:r>
        <w:rPr>
          <w:rFonts w:hint="eastAsia" w:ascii="仿宋_GB2312" w:eastAsia="仿宋_GB2312"/>
          <w:sz w:val="32"/>
          <w:szCs w:val="32"/>
        </w:rPr>
        <w:t>2023年度，</w:t>
      </w:r>
      <w:r>
        <w:rPr>
          <w:rFonts w:hint="eastAsia"/>
          <w:sz w:val="32"/>
          <w:szCs w:val="32"/>
        </w:rPr>
        <w:t>射洪市交通运输局</w:t>
      </w:r>
      <w:r>
        <w:rPr>
          <w:rFonts w:hint="eastAsia" w:ascii="仿宋_GB2312" w:eastAsia="仿宋_GB2312"/>
          <w:sz w:val="32"/>
          <w:szCs w:val="32"/>
        </w:rPr>
        <w:t>政府采购支出总额</w:t>
      </w:r>
      <w:r>
        <w:rPr>
          <w:sz w:val="32"/>
          <w:szCs w:val="32"/>
        </w:rPr>
        <w:t>400.36</w:t>
      </w:r>
      <w:r>
        <w:rPr>
          <w:rFonts w:hint="eastAsia" w:ascii="仿宋_GB2312" w:eastAsia="仿宋_GB2312"/>
          <w:sz w:val="32"/>
          <w:szCs w:val="32"/>
        </w:rPr>
        <w:t>万元，其中：政府采购货物支出</w:t>
      </w:r>
      <w:r>
        <w:rPr>
          <w:sz w:val="32"/>
          <w:szCs w:val="32"/>
        </w:rPr>
        <w:t>0.66</w:t>
      </w:r>
      <w:r>
        <w:rPr>
          <w:rFonts w:hint="eastAsia" w:ascii="仿宋_GB2312" w:eastAsia="仿宋_GB2312"/>
          <w:sz w:val="32"/>
          <w:szCs w:val="32"/>
        </w:rPr>
        <w:t>万元、政府采购工程支出</w:t>
      </w:r>
      <w:r>
        <w:rPr>
          <w:sz w:val="32"/>
          <w:szCs w:val="32"/>
        </w:rPr>
        <w:t>0</w:t>
      </w:r>
      <w:r>
        <w:rPr>
          <w:rFonts w:hint="eastAsia" w:ascii="仿宋_GB2312" w:eastAsia="仿宋_GB2312"/>
          <w:sz w:val="32"/>
          <w:szCs w:val="32"/>
        </w:rPr>
        <w:t>万元、政府采购服务支出</w:t>
      </w:r>
      <w:r>
        <w:rPr>
          <w:sz w:val="32"/>
          <w:szCs w:val="32"/>
        </w:rPr>
        <w:t>399.71</w:t>
      </w:r>
      <w:r>
        <w:rPr>
          <w:rFonts w:hint="eastAsia" w:ascii="仿宋_GB2312" w:eastAsia="仿宋_GB2312"/>
          <w:sz w:val="32"/>
          <w:szCs w:val="32"/>
        </w:rPr>
        <w:t>万元。</w:t>
      </w:r>
      <w:r>
        <w:rPr>
          <w:rFonts w:hint="eastAsia" w:ascii="仿宋_GB2312" w:eastAsia="仿宋_GB2312"/>
          <w:sz w:val="32"/>
          <w:szCs w:val="32"/>
          <w:highlight w:val="none"/>
        </w:rPr>
        <w:t>主要用于</w:t>
      </w:r>
      <w:r>
        <w:rPr>
          <w:rFonts w:hint="eastAsia" w:ascii="仿宋_GB2312" w:eastAsia="仿宋_GB2312"/>
          <w:sz w:val="32"/>
          <w:szCs w:val="32"/>
          <w:highlight w:val="none"/>
          <w:lang w:eastAsia="zh-CN"/>
        </w:rPr>
        <w:t>农村公路养护</w:t>
      </w:r>
      <w:r>
        <w:rPr>
          <w:rFonts w:hint="eastAsia" w:ascii="仿宋_GB2312" w:eastAsia="仿宋_GB2312"/>
          <w:sz w:val="32"/>
          <w:szCs w:val="32"/>
          <w:highlight w:val="none"/>
          <w:lang w:val="en-US" w:eastAsia="zh-CN"/>
        </w:rPr>
        <w:t>服务</w:t>
      </w:r>
      <w:r>
        <w:rPr>
          <w:rFonts w:hint="eastAsia" w:ascii="仿宋_GB2312" w:eastAsia="仿宋_GB2312"/>
          <w:sz w:val="32"/>
          <w:szCs w:val="32"/>
          <w:highlight w:val="none"/>
        </w:rPr>
        <w:t>。</w:t>
      </w:r>
      <w:r>
        <w:rPr>
          <w:rFonts w:hint="eastAsia" w:ascii="仿宋_GB2312" w:eastAsia="仿宋_GB2312"/>
          <w:sz w:val="32"/>
          <w:szCs w:val="32"/>
        </w:rPr>
        <w:t>授予中小企业合同金额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，其中：授予小微企业合同金额</w:t>
      </w:r>
      <w:r>
        <w:rPr>
          <w:sz w:val="32"/>
          <w:szCs w:val="32"/>
        </w:rPr>
        <w:t>0</w:t>
      </w:r>
      <w:r>
        <w:rPr>
          <w:rFonts w:hint="eastAsia" w:ascii="仿宋_GB2312" w:eastAsia="仿宋_GB2312"/>
          <w:sz w:val="32"/>
          <w:szCs w:val="32"/>
        </w:rPr>
        <w:t>万元，占政府采购支出总额的</w:t>
      </w:r>
      <w:r>
        <w:rPr>
          <w:sz w:val="32"/>
          <w:szCs w:val="32"/>
        </w:rPr>
        <w:t>0</w:t>
      </w:r>
      <w:r>
        <w:rPr>
          <w:rFonts w:ascii="仿宋_GB2312" w:eastAsia="仿宋_GB2312"/>
          <w:sz w:val="32"/>
          <w:szCs w:val="32"/>
        </w:rPr>
        <w:t>%</w:t>
      </w:r>
      <w:r>
        <w:rPr>
          <w:rFonts w:hint="eastAsia" w:ascii="仿宋_GB2312" w:eastAsia="仿宋_GB2312"/>
          <w:sz w:val="32"/>
          <w:szCs w:val="32"/>
        </w:rPr>
        <w:t>。</w:t>
      </w:r>
    </w:p>
    <w:p w14:paraId="0B6FC8AD">
      <w:pPr>
        <w:autoSpaceDE w:val="0"/>
        <w:autoSpaceDN w:val="0"/>
        <w:adjustRightInd w:val="0"/>
        <w:spacing w:line="600" w:lineRule="exact"/>
        <w:ind w:firstLine="643" w:firstLineChars="200"/>
        <w:jc w:val="left"/>
        <w:outlineLvl w:val="2"/>
        <w:rPr>
          <w:rFonts w:ascii="仿宋" w:hAnsi="仿宋" w:eastAsia="仿宋"/>
          <w:b/>
          <w:sz w:val="32"/>
          <w:szCs w:val="32"/>
        </w:rPr>
      </w:pPr>
      <w:bookmarkStart w:id="86" w:name="_Toc15377224"/>
      <w:r>
        <w:rPr>
          <w:rFonts w:hint="eastAsia" w:ascii="仿宋" w:hAnsi="仿宋" w:eastAsia="仿宋"/>
          <w:b/>
          <w:sz w:val="32"/>
          <w:szCs w:val="32"/>
        </w:rPr>
        <w:t>（三）国有资产占有使用情况</w:t>
      </w:r>
      <w:bookmarkEnd w:id="86"/>
    </w:p>
    <w:p w14:paraId="06F09D56">
      <w:pPr>
        <w:autoSpaceDE w:val="0"/>
        <w:autoSpaceDN w:val="0"/>
        <w:adjustRightInd w:val="0"/>
        <w:spacing w:line="600" w:lineRule="exact"/>
        <w:ind w:firstLine="640" w:firstLineChars="200"/>
        <w:jc w:val="left"/>
        <w:rPr>
          <w:rFonts w:ascii="仿宋_GB2312" w:eastAsia="仿宋_GB2312"/>
          <w:sz w:val="32"/>
          <w:szCs w:val="32"/>
        </w:rPr>
      </w:pPr>
      <w:r>
        <w:rPr>
          <w:rFonts w:hint="eastAsia" w:ascii="仿宋_GB2312" w:eastAsia="仿宋_GB2312"/>
          <w:sz w:val="32"/>
          <w:szCs w:val="32"/>
        </w:rPr>
        <w:t>截至2023年</w:t>
      </w:r>
      <w:r>
        <w:rPr>
          <w:rFonts w:ascii="仿宋_GB2312" w:eastAsia="仿宋_GB2312"/>
          <w:sz w:val="32"/>
          <w:szCs w:val="32"/>
        </w:rPr>
        <w:t>12</w:t>
      </w:r>
      <w:r>
        <w:rPr>
          <w:rFonts w:hint="eastAsia" w:ascii="仿宋_GB2312" w:eastAsia="仿宋_GB2312"/>
          <w:sz w:val="32"/>
          <w:szCs w:val="32"/>
        </w:rPr>
        <w:t>月</w:t>
      </w:r>
      <w:r>
        <w:rPr>
          <w:rFonts w:ascii="仿宋_GB2312" w:eastAsia="仿宋_GB2312"/>
          <w:sz w:val="32"/>
          <w:szCs w:val="32"/>
        </w:rPr>
        <w:t>31</w:t>
      </w:r>
      <w:r>
        <w:rPr>
          <w:rFonts w:hint="eastAsia" w:ascii="仿宋_GB2312" w:eastAsia="仿宋_GB2312"/>
          <w:sz w:val="32"/>
          <w:szCs w:val="32"/>
        </w:rPr>
        <w:t>日，</w:t>
      </w:r>
      <w:r>
        <w:rPr>
          <w:rFonts w:hint="eastAsia"/>
          <w:sz w:val="32"/>
          <w:szCs w:val="32"/>
        </w:rPr>
        <w:t>射洪市交通运输局</w:t>
      </w:r>
      <w:r>
        <w:rPr>
          <w:rFonts w:hint="eastAsia" w:ascii="仿宋_GB2312" w:eastAsia="仿宋_GB2312"/>
          <w:sz w:val="32"/>
          <w:szCs w:val="32"/>
        </w:rPr>
        <w:t>共有车辆</w:t>
      </w:r>
      <w:r>
        <w:rPr>
          <w:rFonts w:ascii="仿宋_GB2312" w:eastAsia="仿宋_GB2312"/>
          <w:sz w:val="32"/>
          <w:szCs w:val="32"/>
        </w:rPr>
        <w:t>7</w:t>
      </w:r>
      <w:r>
        <w:rPr>
          <w:rFonts w:hint="eastAsia" w:ascii="仿宋_GB2312" w:eastAsia="仿宋_GB2312"/>
          <w:sz w:val="32"/>
          <w:szCs w:val="32"/>
        </w:rPr>
        <w:t>辆，其中：主要领导干部用车</w:t>
      </w:r>
      <w:r>
        <w:rPr>
          <w:rFonts w:hint="eastAsia" w:ascii="仿宋_GB2312" w:eastAsia="仿宋_GB2312"/>
          <w:sz w:val="32"/>
          <w:szCs w:val="32"/>
          <w:lang w:val="en-US" w:eastAsia="zh-CN"/>
        </w:rPr>
        <w:t>0</w:t>
      </w:r>
      <w:r>
        <w:rPr>
          <w:rFonts w:hint="eastAsia" w:ascii="仿宋_GB2312" w:eastAsia="仿宋_GB2312"/>
          <w:sz w:val="32"/>
          <w:szCs w:val="32"/>
        </w:rPr>
        <w:t>辆、机要通信用车</w:t>
      </w:r>
      <w:r>
        <w:rPr>
          <w:rFonts w:hint="eastAsia" w:ascii="仿宋_GB2312" w:eastAsia="仿宋_GB2312"/>
          <w:sz w:val="32"/>
          <w:szCs w:val="32"/>
          <w:lang w:val="en-US" w:eastAsia="zh-CN"/>
        </w:rPr>
        <w:t>0</w:t>
      </w:r>
      <w:r>
        <w:rPr>
          <w:rFonts w:hint="eastAsia" w:ascii="仿宋_GB2312" w:eastAsia="仿宋_GB2312"/>
          <w:sz w:val="32"/>
          <w:szCs w:val="32"/>
        </w:rPr>
        <w:t>辆、应急保障用车</w:t>
      </w:r>
      <w:r>
        <w:rPr>
          <w:rFonts w:hint="eastAsia" w:ascii="仿宋_GB2312" w:eastAsia="仿宋_GB2312"/>
          <w:sz w:val="32"/>
          <w:szCs w:val="32"/>
          <w:lang w:val="en-US" w:eastAsia="zh-CN"/>
        </w:rPr>
        <w:t>0</w:t>
      </w:r>
      <w:r>
        <w:rPr>
          <w:rFonts w:hint="eastAsia" w:ascii="仿宋_GB2312" w:eastAsia="仿宋_GB2312"/>
          <w:sz w:val="32"/>
          <w:szCs w:val="32"/>
        </w:rPr>
        <w:t>辆、特种专业技术用车</w:t>
      </w:r>
      <w:r>
        <w:rPr>
          <w:rFonts w:hint="eastAsia" w:ascii="仿宋_GB2312" w:eastAsia="仿宋_GB2312"/>
          <w:sz w:val="32"/>
          <w:szCs w:val="32"/>
          <w:lang w:val="en-US" w:eastAsia="zh-CN"/>
        </w:rPr>
        <w:t>1辆、</w:t>
      </w:r>
      <w:r>
        <w:rPr>
          <w:rFonts w:hint="eastAsia" w:ascii="仿宋_GB2312" w:eastAsia="仿宋_GB2312"/>
          <w:sz w:val="32"/>
          <w:szCs w:val="32"/>
        </w:rPr>
        <w:t>其他用车</w:t>
      </w:r>
      <w:r>
        <w:rPr>
          <w:rFonts w:hint="eastAsia" w:ascii="仿宋_GB2312" w:eastAsia="仿宋_GB2312"/>
          <w:sz w:val="32"/>
          <w:szCs w:val="32"/>
          <w:lang w:val="en-US" w:eastAsia="zh-CN"/>
        </w:rPr>
        <w:t>6</w:t>
      </w:r>
      <w:r>
        <w:rPr>
          <w:rFonts w:hint="eastAsia" w:ascii="仿宋_GB2312" w:eastAsia="仿宋_GB2312"/>
          <w:sz w:val="32"/>
          <w:szCs w:val="32"/>
        </w:rPr>
        <w:t>辆，其他用车主要是用于</w:t>
      </w:r>
      <w:r>
        <w:rPr>
          <w:rFonts w:hint="eastAsia" w:ascii="仿宋_GB2312" w:hAnsi="Times New Roman" w:eastAsia="仿宋_GB2312" w:cs="Times New Roman"/>
          <w:color w:val="auto"/>
          <w:sz w:val="32"/>
          <w:szCs w:val="32"/>
          <w:highlight w:val="none"/>
          <w:lang w:val="en-US" w:eastAsia="zh-CN"/>
        </w:rPr>
        <w:t>开展国省干线公路、农村公路等路网规划和建设，公路客货运站场规划和建设，水运通道及港口规划和建设，公路养护和航道维护，交通建设市场监管，公路和水路运输管理，公路路政管理，航务管理，海事管理，公路水路安全生产和应急管理，抢险救灾，公路水路和运输信息化建设，生态环保，公路建设质量监督等</w:t>
      </w:r>
      <w:r>
        <w:rPr>
          <w:rFonts w:hint="eastAsia" w:ascii="仿宋_GB2312" w:eastAsia="仿宋_GB2312"/>
          <w:sz w:val="32"/>
          <w:szCs w:val="32"/>
        </w:rPr>
        <w:t>。单价</w:t>
      </w:r>
      <w:r>
        <w:rPr>
          <w:rFonts w:ascii="仿宋_GB2312" w:eastAsia="仿宋_GB2312"/>
          <w:sz w:val="32"/>
          <w:szCs w:val="32"/>
        </w:rPr>
        <w:t>100</w:t>
      </w:r>
      <w:r>
        <w:rPr>
          <w:rFonts w:hint="eastAsia" w:ascii="仿宋_GB2312" w:eastAsia="仿宋_GB2312"/>
          <w:sz w:val="32"/>
          <w:szCs w:val="32"/>
        </w:rPr>
        <w:t>万元以上设备（不含车辆）</w:t>
      </w:r>
      <w:r>
        <w:rPr>
          <w:sz w:val="32"/>
          <w:szCs w:val="32"/>
        </w:rPr>
        <w:t>0</w:t>
      </w:r>
      <w:r>
        <w:rPr>
          <w:rFonts w:hint="eastAsia" w:ascii="仿宋_GB2312" w:eastAsia="仿宋_GB2312"/>
          <w:sz w:val="32"/>
          <w:szCs w:val="32"/>
        </w:rPr>
        <w:t>台（套）。</w:t>
      </w:r>
    </w:p>
    <w:p w14:paraId="65BDEA42">
      <w:pPr>
        <w:autoSpaceDE w:val="0"/>
        <w:autoSpaceDN w:val="0"/>
        <w:adjustRightInd w:val="0"/>
        <w:spacing w:line="600" w:lineRule="exact"/>
        <w:ind w:firstLine="643" w:firstLineChars="200"/>
        <w:jc w:val="left"/>
        <w:outlineLvl w:val="2"/>
        <w:rPr>
          <w:rFonts w:ascii="仿宋" w:hAnsi="仿宋" w:eastAsia="仿宋"/>
          <w:b/>
          <w:sz w:val="32"/>
          <w:szCs w:val="32"/>
        </w:rPr>
      </w:pPr>
      <w:r>
        <w:rPr>
          <w:rFonts w:hint="eastAsia" w:ascii="仿宋" w:hAnsi="仿宋" w:eastAsia="仿宋"/>
          <w:b/>
          <w:sz w:val="32"/>
          <w:szCs w:val="32"/>
        </w:rPr>
        <w:t>（四）预算绩效管理情况</w:t>
      </w:r>
    </w:p>
    <w:p w14:paraId="1C3A14FA">
      <w:pPr>
        <w:spacing w:line="580" w:lineRule="exact"/>
        <w:ind w:firstLine="640" w:firstLineChars="200"/>
        <w:rPr>
          <w:rFonts w:ascii="仿宋_GB2312" w:hAnsi="仿宋_GB2312" w:eastAsia="仿宋_GB2312" w:cs="仿宋_GB2312"/>
          <w:sz w:val="32"/>
          <w:szCs w:val="32"/>
          <w:highlight w:val="green"/>
        </w:rPr>
      </w:pPr>
      <w:r>
        <w:rPr>
          <w:rFonts w:hint="eastAsia" w:ascii="仿宋_GB2312" w:hAnsi="仿宋_GB2312" w:eastAsia="仿宋_GB2312" w:cs="仿宋_GB2312"/>
          <w:sz w:val="32"/>
          <w:szCs w:val="32"/>
          <w:highlight w:val="none"/>
        </w:rPr>
        <w:t>根据预算绩效管理要求，本部门在2023年度预算编制阶段，组织对</w:t>
      </w:r>
      <w:r>
        <w:rPr>
          <w:rFonts w:hint="eastAsia" w:ascii="仿宋_GB2312" w:hAnsi="仿宋_GB2312" w:eastAsia="仿宋_GB2312" w:cs="仿宋_GB2312"/>
          <w:sz w:val="32"/>
          <w:szCs w:val="32"/>
          <w:highlight w:val="none"/>
          <w:lang w:val="en-US" w:eastAsia="zh-CN"/>
        </w:rPr>
        <w:t>18个</w:t>
      </w:r>
      <w:r>
        <w:rPr>
          <w:rFonts w:hint="eastAsia" w:ascii="仿宋_GB2312" w:hAnsi="仿宋_GB2312" w:eastAsia="仿宋_GB2312" w:cs="仿宋_GB2312"/>
          <w:sz w:val="32"/>
          <w:szCs w:val="32"/>
          <w:highlight w:val="none"/>
        </w:rPr>
        <w:t>项目开展了预算事前绩效评估，对</w:t>
      </w:r>
      <w:r>
        <w:rPr>
          <w:rFonts w:hint="eastAsia" w:ascii="仿宋_GB2312" w:hAnsi="仿宋_GB2312" w:eastAsia="仿宋_GB2312" w:cs="仿宋_GB2312"/>
          <w:sz w:val="32"/>
          <w:szCs w:val="32"/>
          <w:highlight w:val="none"/>
          <w:lang w:val="en-US" w:eastAsia="zh-CN"/>
        </w:rPr>
        <w:t>23</w:t>
      </w:r>
      <w:r>
        <w:rPr>
          <w:rFonts w:hint="eastAsia" w:ascii="仿宋_GB2312" w:hAnsi="仿宋_GB2312" w:eastAsia="仿宋_GB2312" w:cs="仿宋_GB2312"/>
          <w:sz w:val="32"/>
          <w:szCs w:val="32"/>
          <w:highlight w:val="none"/>
        </w:rPr>
        <w:t>个项目编制了绩效目标，预算执行过程中，选取</w:t>
      </w:r>
      <w:r>
        <w:rPr>
          <w:rFonts w:hint="eastAsia" w:ascii="仿宋_GB2312" w:hAnsi="仿宋_GB2312" w:eastAsia="仿宋_GB2312" w:cs="仿宋_GB2312"/>
          <w:sz w:val="32"/>
          <w:szCs w:val="32"/>
          <w:highlight w:val="none"/>
          <w:lang w:val="en-US" w:eastAsia="zh-CN"/>
        </w:rPr>
        <w:t>23</w:t>
      </w:r>
      <w:r>
        <w:rPr>
          <w:rFonts w:hint="eastAsia" w:ascii="仿宋_GB2312" w:hAnsi="仿宋_GB2312" w:eastAsia="仿宋_GB2312" w:cs="仿宋_GB2312"/>
          <w:sz w:val="32"/>
          <w:szCs w:val="32"/>
          <w:highlight w:val="none"/>
        </w:rPr>
        <w:t>个项目开展绩效监控。</w:t>
      </w:r>
    </w:p>
    <w:p w14:paraId="076C5EBB">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组织对2023年度一般公共预算、政府性基金预算、国有资本经营预算、社会保险基金预算以及资本资产、债券资金等全面开展绩效自评，形成</w:t>
      </w:r>
      <w:r>
        <w:rPr>
          <w:rFonts w:hint="eastAsia" w:ascii="仿宋_GB2312" w:eastAsia="仿宋_GB2312"/>
          <w:sz w:val="32"/>
          <w:szCs w:val="32"/>
          <w:lang w:val="en-US" w:eastAsia="zh-CN"/>
        </w:rPr>
        <w:t>射洪市交通运输局2023年度</w:t>
      </w:r>
      <w:r>
        <w:rPr>
          <w:rFonts w:hint="eastAsia" w:ascii="仿宋_GB2312" w:eastAsia="仿宋_GB2312"/>
          <w:sz w:val="32"/>
          <w:szCs w:val="32"/>
        </w:rPr>
        <w:t>部门整体（含部门预算项目）绩效自评报</w:t>
      </w:r>
      <w:r>
        <w:rPr>
          <w:rFonts w:hint="eastAsia" w:ascii="仿宋_GB2312" w:hAnsi="Times New Roman" w:eastAsia="仿宋_GB2312" w:cs="Times New Roman"/>
          <w:sz w:val="32"/>
          <w:szCs w:val="32"/>
          <w:lang w:val="en-US" w:eastAsia="zh-CN"/>
        </w:rPr>
        <w:t>告、2</w:t>
      </w:r>
      <w:r>
        <w:rPr>
          <w:rFonts w:hint="eastAsia" w:ascii="仿宋_GB2312" w:eastAsia="仿宋_GB2312"/>
          <w:sz w:val="32"/>
          <w:szCs w:val="32"/>
          <w:lang w:val="en-US" w:eastAsia="zh-CN"/>
        </w:rPr>
        <w:t>023年度综合执法经费等预算项目绩效自评报</w:t>
      </w:r>
      <w:r>
        <w:rPr>
          <w:rFonts w:hint="eastAsia" w:ascii="仿宋_GB2312" w:eastAsia="仿宋_GB2312"/>
          <w:sz w:val="32"/>
          <w:szCs w:val="32"/>
        </w:rPr>
        <w:t>告</w:t>
      </w:r>
      <w:r>
        <w:rPr>
          <w:rFonts w:hint="eastAsia" w:ascii="仿宋_GB2312" w:eastAsia="仿宋_GB2312"/>
          <w:sz w:val="32"/>
          <w:szCs w:val="32"/>
          <w:lang w:eastAsia="zh-CN"/>
        </w:rPr>
        <w:t>。</w:t>
      </w:r>
      <w:r>
        <w:rPr>
          <w:rFonts w:hint="eastAsia" w:ascii="仿宋_GB2312" w:eastAsia="仿宋_GB2312"/>
          <w:sz w:val="32"/>
          <w:szCs w:val="32"/>
        </w:rPr>
        <w:t>绩效自评综述：</w:t>
      </w:r>
      <w:r>
        <w:rPr>
          <w:rFonts w:hint="eastAsia" w:ascii="仿宋_GB2312" w:eastAsia="仿宋_GB2312"/>
          <w:sz w:val="32"/>
          <w:szCs w:val="32"/>
          <w:lang w:val="en-US" w:eastAsia="zh-CN"/>
        </w:rPr>
        <w:t>本单位在财政预算资金管理上措施得力。预算执行严格有序，预算管理规范可控，资金效益合乎预期。行政运行成本下降明显，有效保证了机构运转，取得了较好社会效益。2023年度综合执法经费，</w:t>
      </w:r>
      <w:r>
        <w:rPr>
          <w:rFonts w:hint="eastAsia" w:ascii="仿宋_GB2312" w:eastAsia="仿宋_GB2312"/>
          <w:sz w:val="32"/>
          <w:szCs w:val="32"/>
        </w:rPr>
        <w:t>项目绩效自评得分为</w:t>
      </w:r>
      <w:r>
        <w:rPr>
          <w:rFonts w:hint="eastAsia" w:ascii="仿宋_GB2312" w:eastAsia="仿宋_GB2312"/>
          <w:sz w:val="32"/>
          <w:szCs w:val="32"/>
          <w:lang w:val="en-US" w:eastAsia="zh-CN"/>
        </w:rPr>
        <w:t>95</w:t>
      </w:r>
      <w:r>
        <w:rPr>
          <w:rFonts w:hint="eastAsia" w:ascii="仿宋_GB2312" w:eastAsia="仿宋_GB2312"/>
          <w:sz w:val="32"/>
          <w:szCs w:val="32"/>
        </w:rPr>
        <w:t>分，绩效自评综述：</w:t>
      </w:r>
      <w:r>
        <w:rPr>
          <w:rFonts w:hint="eastAsia" w:ascii="仿宋_GB2312" w:eastAsia="仿宋_GB2312"/>
          <w:sz w:val="32"/>
          <w:szCs w:val="32"/>
          <w:lang w:val="en-US" w:eastAsia="zh-CN"/>
        </w:rPr>
        <w:t>对该项目通过了数量指标、质量指标、成本指标、时效指标、社会效益指标、服务对象满意度指标等进行了评价。</w:t>
      </w:r>
      <w:r>
        <w:rPr>
          <w:rFonts w:hint="eastAsia" w:ascii="仿宋_GB2312" w:hAnsi="Times New Roman" w:eastAsia="仿宋_GB2312" w:cs="Times New Roman"/>
          <w:sz w:val="32"/>
          <w:szCs w:val="32"/>
          <w:lang w:val="en-US" w:eastAsia="zh-CN"/>
        </w:rPr>
        <w:t>该项目内容合理，项目绩效目标合理明晰，符合行政执法落实“三项制度”和“标准化”建设相关政策。资金涉及项目均制定了相应的项目管理、执行制度和方案，制度执行基本规范有效。</w:t>
      </w:r>
      <w:r>
        <w:rPr>
          <w:rFonts w:hint="eastAsia" w:ascii="仿宋_GB2312" w:eastAsia="仿宋_GB2312"/>
          <w:sz w:val="32"/>
          <w:szCs w:val="32"/>
          <w:lang w:val="en-US" w:eastAsia="zh-CN"/>
        </w:rPr>
        <w:t>在市交通运输局的指导和监督下不断加强了工作经费的使用管理，坚持公开、公平、公正的原则，提高了资金使用效益</w:t>
      </w:r>
      <w:r>
        <w:rPr>
          <w:rFonts w:hint="eastAsia" w:ascii="仿宋_GB2312" w:eastAsia="仿宋_GB2312"/>
          <w:sz w:val="32"/>
          <w:szCs w:val="32"/>
        </w:rPr>
        <w:t>。绩效自评报告详见附件。</w:t>
      </w:r>
    </w:p>
    <w:p w14:paraId="7E0807E9">
      <w:pPr>
        <w:spacing w:line="580" w:lineRule="exact"/>
        <w:ind w:firstLine="640" w:firstLineChars="200"/>
        <w:rPr>
          <w:rFonts w:hint="eastAsia" w:ascii="仿宋_GB2312" w:hAnsi="仿宋_GB2312" w:eastAsia="仿宋_GB2312" w:cs="仿宋_GB2312"/>
          <w:sz w:val="32"/>
          <w:szCs w:val="32"/>
          <w:highlight w:val="green"/>
        </w:rPr>
      </w:pPr>
      <w:r>
        <w:rPr>
          <w:rFonts w:hint="eastAsia" w:ascii="仿宋_GB2312" w:hAnsi="Times New Roman" w:eastAsia="仿宋_GB2312" w:cs="Times New Roman"/>
          <w:sz w:val="32"/>
          <w:szCs w:val="32"/>
        </w:rPr>
        <w:br w:type="page"/>
      </w:r>
    </w:p>
    <w:p w14:paraId="062B4441">
      <w:pPr>
        <w:pStyle w:val="2"/>
        <w:keepNext/>
        <w:keepLines/>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cs="Times New Roman"/>
          <w:b w:val="0"/>
        </w:rPr>
      </w:pPr>
      <w:bookmarkStart w:id="87" w:name="_Toc4224"/>
      <w:bookmarkStart w:id="88" w:name="_Toc13126"/>
      <w:r>
        <w:rPr>
          <w:rFonts w:hint="eastAsia" w:ascii="黑体" w:hAnsi="黑体" w:eastAsia="黑体" w:cs="Times New Roman"/>
          <w:b w:val="0"/>
        </w:rPr>
        <w:t>第三部分 名词解释</w:t>
      </w:r>
      <w:bookmarkEnd w:id="87"/>
      <w:bookmarkEnd w:id="88"/>
    </w:p>
    <w:p w14:paraId="4BC8BE12">
      <w:pPr>
        <w:autoSpaceDE w:val="0"/>
        <w:autoSpaceDN w:val="0"/>
        <w:adjustRightInd w:val="0"/>
        <w:spacing w:line="600" w:lineRule="exact"/>
        <w:ind w:firstLine="640" w:firstLineChars="200"/>
        <w:jc w:val="left"/>
        <w:outlineLvl w:val="1"/>
        <w:rPr>
          <w:rFonts w:ascii="仿宋_GB2312" w:eastAsia="仿宋_GB2312"/>
          <w:color w:val="auto"/>
          <w:sz w:val="32"/>
          <w:szCs w:val="32"/>
          <w:highlight w:val="none"/>
        </w:rPr>
      </w:pPr>
      <w:bookmarkStart w:id="89" w:name="_Toc3198"/>
      <w:bookmarkStart w:id="90" w:name="_Toc16024"/>
      <w:bookmarkStart w:id="91" w:name="_Toc21659"/>
      <w:bookmarkStart w:id="92" w:name="_Toc22862"/>
      <w:bookmarkStart w:id="93" w:name="_Toc23472"/>
      <w:bookmarkStart w:id="94" w:name="_Toc30795"/>
      <w:r>
        <w:rPr>
          <w:rFonts w:ascii="仿宋_GB2312" w:eastAsia="仿宋_GB2312"/>
          <w:color w:val="auto"/>
          <w:sz w:val="32"/>
          <w:szCs w:val="32"/>
          <w:highlight w:val="none"/>
        </w:rPr>
        <w:t>1.</w:t>
      </w:r>
      <w:r>
        <w:rPr>
          <w:rFonts w:hint="eastAsia" w:ascii="仿宋_GB2312" w:eastAsia="仿宋_GB2312"/>
          <w:color w:val="auto"/>
          <w:sz w:val="32"/>
          <w:szCs w:val="32"/>
          <w:highlight w:val="none"/>
        </w:rPr>
        <w:t>财政拨款收入：指单位从同级财政部门取得的财政预算资金。</w:t>
      </w:r>
      <w:bookmarkEnd w:id="89"/>
      <w:bookmarkEnd w:id="90"/>
      <w:bookmarkEnd w:id="91"/>
      <w:bookmarkEnd w:id="92"/>
      <w:bookmarkEnd w:id="93"/>
      <w:bookmarkEnd w:id="94"/>
    </w:p>
    <w:p w14:paraId="2149FF7F">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2.一般公共服务支出（类）政府办公厅（室）及相关机构事务（款）行政运行（项）:指行政单位(包括实行公务员管理的事业单位)的基本支出。</w:t>
      </w:r>
    </w:p>
    <w:p w14:paraId="78007934">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3.一般公共服务支出（类）宣传事务（款）一般行政管理事务（项）:指行政单位(包括实行公务员管理的事业单位)未单独设置项级科目的其他项目支出。</w:t>
      </w:r>
    </w:p>
    <w:p w14:paraId="0700D1F0">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 xml:space="preserve">4.社会保障和就业（类）行政事业单位养老（款）机关事业单位基本养老保险缴费（项）:指机关事业单位实施养老保险制度由单位缴纳的基本养老保险费支出。 </w:t>
      </w:r>
    </w:p>
    <w:p w14:paraId="03FD0B49">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5.社会保障和就业（类）行政事业单位养老（款）机关事业单位职业年金（项）:反映机关事业单位实施养老保险制度由单位实际缴纳的职业年金支出。</w:t>
      </w:r>
    </w:p>
    <w:p w14:paraId="2646BCAA">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6.社会保障和就业（类）抚恤（款）死亡抚恤（项）: 反映按规定用于烈士和牺牲、病故人员家属的一次性和定期抚恤金、丧葬补助费以及烈士褒扬金。</w:t>
      </w:r>
    </w:p>
    <w:p w14:paraId="28C60F3E">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7.社会保障和就业（类）其他社会保障和就业（款）其他社会保障和就业（项）: 指除上述项目以外其他用于社会保障和就业方面的支出。</w:t>
      </w:r>
    </w:p>
    <w:p w14:paraId="306444DE">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8.卫生健康（类）公共卫生（款）重大公共卫生服务（项）:指重大疾病、重大传染病预防控制等重大公共卫生服务项目支出。</w:t>
      </w:r>
    </w:p>
    <w:p w14:paraId="539ABEF5">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9.卫生健康（类）行政事业单位医疗（款）行政单位医疗（项）:指财政部门安排的行政单位基本医疗保险缴费经费，未参加医疗保险的行政单位的公费医疗经费，按国家规定享受离休人员、红军老战士待遇人员的医疗经费。</w:t>
      </w:r>
    </w:p>
    <w:p w14:paraId="131587DE">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10.卫生健康（类）行政事业单位医疗（款）事业单位医疗（项）:指财政部门安排的事业单位基本医疗保险缴费经费，未参加医疗保险的事业单位的公费医疗经费，按国家规定享受离休人员待遇的医疗经费。</w:t>
      </w:r>
    </w:p>
    <w:p w14:paraId="646AC716">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11.卫生健康（类）行政事业单位医疗（款）公务员医疗（项）:指财政部门安排的公务员管理的事业单位基本医疗保险缴费经费，未参加医疗保险的行政单位的公费医疗经费，按国家规定享受离休人员、红军老战士待遇人员的医疗经费。</w:t>
      </w:r>
    </w:p>
    <w:p w14:paraId="5E020F59">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12.卫生健康（类）行政事业单位医疗（款）其他行政事业单位医疗（项）:指除上述项目以外的其他用于行政事业单位医疗方面的支出</w:t>
      </w:r>
    </w:p>
    <w:p w14:paraId="56257A56">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13.农林水（类）农业农村（款）其他农业农村（项）:指除上述项目以外其他用于农业农村方面的支出。</w:t>
      </w:r>
    </w:p>
    <w:p w14:paraId="2ED71BC5">
      <w:pPr>
        <w:autoSpaceDE w:val="0"/>
        <w:autoSpaceDN w:val="0"/>
        <w:adjustRightInd w:val="0"/>
        <w:spacing w:line="600" w:lineRule="exact"/>
        <w:ind w:firstLine="640" w:firstLineChars="200"/>
        <w:jc w:val="left"/>
        <w:rPr>
          <w:rFonts w:hint="default"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14.农林水（类）巩固脱贫攻坚成果衔接乡村振兴（款）农村基础设施建设（项）:反映用于农村欠发达地区乡村道路、住房、基本农田、水利设施、人畜饮水、生态环境保护等生产生活条件改善方面的支出。</w:t>
      </w:r>
    </w:p>
    <w:p w14:paraId="405A8960">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15.农林水（类）巩固脱贫攻坚成果衔接乡村振兴（款）其他巩固脱贫攻坚成果衔接乡村振兴（项）:反映除上述项目以外其他用于巩固拓展脱贫攻坚成果同乡村振兴有效衔接方面的支出。</w:t>
      </w:r>
    </w:p>
    <w:p w14:paraId="58D9837B">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16.交通运输（类）公路水路运输（款）行政运行（项）:机关的基本支出。</w:t>
      </w:r>
    </w:p>
    <w:p w14:paraId="6E847678">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17.交通运输（类）公路水路运输（款）一般行政管理事务（项）:反映行政单位(包括实行公务员管理的事业单位)未单独设置项级科目的其他项目支出。</w:t>
      </w:r>
    </w:p>
    <w:p w14:paraId="302119DE">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18.交通运输（类）公路水路运输（款）公路建设（项）:指新建公路支出，公路改建支出，特大型桥梁建设支出，公路客货运站（场）建设支出。</w:t>
      </w:r>
    </w:p>
    <w:p w14:paraId="6C57703B">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19.交通运输（类）公路水路运输（款）公路养护（项）:指公路养护支出。</w:t>
      </w:r>
    </w:p>
    <w:p w14:paraId="08A388D7">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20.交通运输（类）公路水路运输（款）公路和运输安全（项）:反映公路和运输安全支出。</w:t>
      </w:r>
    </w:p>
    <w:p w14:paraId="56FCCF9D">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21.交通运输（类）公路水路运输（款）公路运输管理（项）:反映公路运输管理支出和公路路政管理支出。</w:t>
      </w:r>
    </w:p>
    <w:p w14:paraId="32D38157">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22.交通运输（类）公路水路运输（款）救助打捞（项）:反映救助打捞方面的支出。</w:t>
      </w:r>
    </w:p>
    <w:p w14:paraId="63EE1CFC">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23.交通运输（类）公路水路运输（款）海事管理（项）:反映海事管理方面的支出。</w:t>
      </w:r>
    </w:p>
    <w:p w14:paraId="53BA0AD5">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24.交通运输（类）公路水路运输（款）其他公路水路运输（项）:指除上述项目之外的用于  其他公路水路运输事务的支出。</w:t>
      </w:r>
    </w:p>
    <w:p w14:paraId="1A34699C">
      <w:pPr>
        <w:autoSpaceDE w:val="0"/>
        <w:autoSpaceDN w:val="0"/>
        <w:adjustRightInd w:val="0"/>
        <w:spacing w:line="600" w:lineRule="exact"/>
        <w:ind w:firstLine="640" w:firstLineChars="200"/>
        <w:jc w:val="left"/>
        <w:rPr>
          <w:rFonts w:hint="default"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25.交通运输（类）车辆购置税（款）车辆购置税用于农村公路建设（项）:反映车辆购置税收</w:t>
      </w:r>
      <w:r>
        <w:rPr>
          <w:rFonts w:hint="eastAsia" w:ascii="仿宋_GB2312" w:eastAsia="仿宋_GB2312" w:cs="Times New Roman"/>
          <w:color w:val="auto"/>
          <w:sz w:val="32"/>
          <w:szCs w:val="32"/>
          <w:highlight w:val="none"/>
          <w:lang w:val="en-US" w:eastAsia="zh-CN"/>
        </w:rPr>
        <w:t>入</w:t>
      </w:r>
      <w:r>
        <w:rPr>
          <w:rFonts w:hint="eastAsia" w:ascii="仿宋_GB2312" w:hAnsi="Times New Roman" w:eastAsia="仿宋_GB2312" w:cs="Times New Roman"/>
          <w:color w:val="auto"/>
          <w:sz w:val="32"/>
          <w:szCs w:val="32"/>
          <w:highlight w:val="none"/>
          <w:lang w:val="en-US" w:eastAsia="zh-CN"/>
        </w:rPr>
        <w:t>安排用于农村公路建设的支出。</w:t>
      </w:r>
    </w:p>
    <w:p w14:paraId="2A5457BD">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26.交通运输（类）车辆购置税（款）车辆购置税其他（项）:反映其他交通运输支出中除对公共交通运营补助以外的其他支出。</w:t>
      </w:r>
    </w:p>
    <w:p w14:paraId="31605855">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27.交通运输（类）其他交通运输（款）公共交通运营补助（项）:反映对公共交通运输企业的补助支出。</w:t>
      </w:r>
    </w:p>
    <w:p w14:paraId="6C181F9A">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28.交通运输（类）其他交通运输（款）其他交通运输（项）:反映车辆购置税</w:t>
      </w:r>
      <w:r>
        <w:rPr>
          <w:rFonts w:hint="eastAsia" w:ascii="仿宋_GB2312" w:eastAsia="仿宋_GB2312" w:cs="Times New Roman"/>
          <w:color w:val="auto"/>
          <w:sz w:val="32"/>
          <w:szCs w:val="32"/>
          <w:highlight w:val="none"/>
          <w:lang w:val="en-US" w:eastAsia="zh-CN"/>
        </w:rPr>
        <w:t>收入</w:t>
      </w:r>
      <w:r>
        <w:rPr>
          <w:rFonts w:hint="eastAsia" w:ascii="仿宋_GB2312" w:hAnsi="Times New Roman" w:eastAsia="仿宋_GB2312" w:cs="Times New Roman"/>
          <w:color w:val="auto"/>
          <w:sz w:val="32"/>
          <w:szCs w:val="32"/>
          <w:highlight w:val="none"/>
          <w:lang w:val="en-US" w:eastAsia="zh-CN"/>
        </w:rPr>
        <w:t>安排用于除上述项目以外的其他支出。</w:t>
      </w:r>
    </w:p>
    <w:p w14:paraId="493F5BAF">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29.住房保障（类）住房改革（款）住房公积金（项）:指行政事业单位按人力资源和社会保障部、财政部规定的基本工资和津贴补贴以及规定比例为职工缴纳的住房公积金。</w:t>
      </w:r>
    </w:p>
    <w:p w14:paraId="226FA0E6">
      <w:pPr>
        <w:autoSpaceDE w:val="0"/>
        <w:autoSpaceDN w:val="0"/>
        <w:adjustRightInd w:val="0"/>
        <w:spacing w:line="600" w:lineRule="exact"/>
        <w:ind w:firstLine="640" w:firstLineChars="200"/>
        <w:jc w:val="left"/>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30.灾害防治及应急管理（类）应急管理事务（款）应急救援（项）:反映安全生产、</w:t>
      </w:r>
      <w:r>
        <w:rPr>
          <w:rFonts w:hint="eastAsia" w:ascii="仿宋_GB2312" w:eastAsia="仿宋_GB2312" w:cs="Times New Roman"/>
          <w:color w:val="auto"/>
          <w:sz w:val="32"/>
          <w:szCs w:val="32"/>
          <w:highlight w:val="none"/>
          <w:lang w:val="en-US" w:eastAsia="zh-CN"/>
        </w:rPr>
        <w:t>自然灾害</w:t>
      </w:r>
      <w:r>
        <w:rPr>
          <w:rFonts w:hint="eastAsia" w:ascii="仿宋_GB2312" w:hAnsi="Times New Roman" w:eastAsia="仿宋_GB2312" w:cs="Times New Roman"/>
          <w:color w:val="auto"/>
          <w:sz w:val="32"/>
          <w:szCs w:val="32"/>
          <w:highlight w:val="none"/>
          <w:lang w:val="en-US" w:eastAsia="zh-CN"/>
        </w:rPr>
        <w:t>应急救援方面的支出。</w:t>
      </w:r>
    </w:p>
    <w:p w14:paraId="0859EF37">
      <w:pPr>
        <w:autoSpaceDE w:val="0"/>
        <w:autoSpaceDN w:val="0"/>
        <w:adjustRightInd w:val="0"/>
        <w:spacing w:line="600" w:lineRule="exact"/>
        <w:ind w:firstLine="640" w:firstLineChars="200"/>
        <w:jc w:val="left"/>
        <w:rPr>
          <w:rFonts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lang w:val="en-US" w:eastAsia="zh-CN"/>
        </w:rPr>
        <w:t>31</w:t>
      </w:r>
      <w:r>
        <w:rPr>
          <w:rFonts w:ascii="仿宋_GB2312" w:hAnsi="Times New Roman" w:eastAsia="仿宋_GB2312" w:cs="Times New Roman"/>
          <w:color w:val="auto"/>
          <w:sz w:val="32"/>
          <w:szCs w:val="32"/>
          <w:highlight w:val="none"/>
        </w:rPr>
        <w:t>.</w:t>
      </w:r>
      <w:r>
        <w:rPr>
          <w:rFonts w:hint="eastAsia" w:ascii="仿宋_GB2312" w:hAnsi="Times New Roman" w:eastAsia="仿宋_GB2312" w:cs="Times New Roman"/>
          <w:color w:val="auto"/>
          <w:sz w:val="32"/>
          <w:szCs w:val="32"/>
          <w:highlight w:val="none"/>
        </w:rPr>
        <w:t>基本支出：指为保障机构正常运转、完成日常工作任务而发生的人员支出和公用支出。</w:t>
      </w:r>
    </w:p>
    <w:p w14:paraId="1FF19C7E">
      <w:pPr>
        <w:autoSpaceDE w:val="0"/>
        <w:autoSpaceDN w:val="0"/>
        <w:adjustRightInd w:val="0"/>
        <w:spacing w:line="600" w:lineRule="exact"/>
        <w:ind w:firstLine="640" w:firstLineChars="200"/>
        <w:jc w:val="left"/>
        <w:rPr>
          <w:rFonts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lang w:val="en-US" w:eastAsia="zh-CN"/>
        </w:rPr>
        <w:t>32</w:t>
      </w:r>
      <w:r>
        <w:rPr>
          <w:rFonts w:ascii="仿宋_GB2312" w:hAnsi="Times New Roman" w:eastAsia="仿宋_GB2312" w:cs="Times New Roman"/>
          <w:color w:val="auto"/>
          <w:sz w:val="32"/>
          <w:szCs w:val="32"/>
          <w:highlight w:val="none"/>
        </w:rPr>
        <w:t>.</w:t>
      </w:r>
      <w:r>
        <w:rPr>
          <w:rFonts w:hint="eastAsia" w:ascii="仿宋_GB2312" w:hAnsi="Times New Roman" w:eastAsia="仿宋_GB2312" w:cs="Times New Roman"/>
          <w:color w:val="auto"/>
          <w:sz w:val="32"/>
          <w:szCs w:val="32"/>
          <w:highlight w:val="none"/>
        </w:rPr>
        <w:t>项目支出：指在基本支出之外为完成特定行政任务和事业发展目标所发生的支出。</w:t>
      </w:r>
    </w:p>
    <w:p w14:paraId="4CB540E0">
      <w:pPr>
        <w:autoSpaceDE w:val="0"/>
        <w:autoSpaceDN w:val="0"/>
        <w:adjustRightInd w:val="0"/>
        <w:spacing w:line="600" w:lineRule="exact"/>
        <w:ind w:firstLine="640" w:firstLineChars="200"/>
        <w:jc w:val="left"/>
        <w:rPr>
          <w:rFonts w:ascii="仿宋_GB2312" w:hAnsi="Times New Roman" w:eastAsia="仿宋_GB2312" w:cs="Times New Roman"/>
          <w:color w:val="auto"/>
          <w:sz w:val="32"/>
          <w:szCs w:val="32"/>
          <w:highlight w:val="none"/>
        </w:rPr>
      </w:pPr>
      <w:r>
        <w:rPr>
          <w:rFonts w:hint="eastAsia" w:ascii="仿宋_GB2312" w:hAnsi="Times New Roman" w:eastAsia="仿宋_GB2312" w:cs="Times New Roman"/>
          <w:color w:val="auto"/>
          <w:sz w:val="32"/>
          <w:szCs w:val="32"/>
          <w:highlight w:val="none"/>
          <w:lang w:val="en-US" w:eastAsia="zh-CN"/>
        </w:rPr>
        <w:t>33</w:t>
      </w:r>
      <w:r>
        <w:rPr>
          <w:rFonts w:ascii="仿宋_GB2312" w:hAnsi="Times New Roman" w:eastAsia="仿宋_GB2312" w:cs="Times New Roman"/>
          <w:color w:val="auto"/>
          <w:sz w:val="32"/>
          <w:szCs w:val="32"/>
          <w:highlight w:val="none"/>
        </w:rPr>
        <w:t>.</w:t>
      </w:r>
      <w:r>
        <w:rPr>
          <w:rFonts w:hint="eastAsia" w:ascii="仿宋_GB2312" w:hAnsi="Times New Roman" w:eastAsia="仿宋_GB2312" w:cs="Times New Roman"/>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3EF2840E">
      <w:pPr>
        <w:autoSpaceDE w:val="0"/>
        <w:autoSpaceDN w:val="0"/>
        <w:adjustRightInd w:val="0"/>
        <w:spacing w:line="600" w:lineRule="exact"/>
        <w:ind w:firstLine="640" w:firstLineChars="200"/>
        <w:jc w:val="left"/>
        <w:rPr>
          <w:rFonts w:ascii="仿宋" w:hAnsi="仿宋" w:eastAsia="仿宋"/>
          <w:b/>
          <w:sz w:val="32"/>
          <w:szCs w:val="32"/>
        </w:rPr>
      </w:pPr>
      <w:r>
        <w:rPr>
          <w:rFonts w:hint="eastAsia" w:ascii="仿宋_GB2312" w:hAnsi="Times New Roman" w:eastAsia="仿宋_GB2312" w:cs="Times New Roman"/>
          <w:color w:val="auto"/>
          <w:sz w:val="32"/>
          <w:szCs w:val="32"/>
          <w:highlight w:val="none"/>
          <w:lang w:val="en-US" w:eastAsia="zh-CN"/>
        </w:rPr>
        <w:t>34</w:t>
      </w:r>
      <w:r>
        <w:rPr>
          <w:rFonts w:ascii="仿宋_GB2312" w:hAnsi="Times New Roman" w:eastAsia="仿宋_GB2312" w:cs="Times New Roman"/>
          <w:color w:val="auto"/>
          <w:sz w:val="32"/>
          <w:szCs w:val="32"/>
          <w:highlight w:val="none"/>
        </w:rPr>
        <w:t>.</w:t>
      </w:r>
      <w:r>
        <w:rPr>
          <w:rFonts w:hint="eastAsia" w:ascii="仿宋_GB2312" w:hAnsi="Times New Roman" w:eastAsia="仿宋_GB2312" w:cs="Times New Roman"/>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r>
        <w:rPr>
          <w:rFonts w:ascii="仿宋" w:hAnsi="仿宋" w:eastAsia="仿宋"/>
          <w:b/>
          <w:sz w:val="32"/>
          <w:szCs w:val="32"/>
        </w:rPr>
        <w:br w:type="page"/>
      </w:r>
    </w:p>
    <w:p w14:paraId="7424A6CD">
      <w:pPr>
        <w:pStyle w:val="2"/>
        <w:pageBreakBefore w:val="0"/>
        <w:widowControl w:val="0"/>
        <w:kinsoku/>
        <w:wordWrap/>
        <w:overflowPunct/>
        <w:topLinePunct w:val="0"/>
        <w:autoSpaceDE/>
        <w:autoSpaceDN/>
        <w:bidi w:val="0"/>
        <w:adjustRightInd/>
        <w:snapToGrid/>
        <w:spacing w:line="520" w:lineRule="exact"/>
        <w:jc w:val="center"/>
        <w:textAlignment w:val="auto"/>
        <w:rPr>
          <w:rFonts w:hint="eastAsia" w:ascii="黑体" w:hAnsi="黑体" w:eastAsia="黑体"/>
          <w:b w:val="0"/>
        </w:rPr>
      </w:pPr>
      <w:bookmarkStart w:id="95" w:name="_Toc18582"/>
      <w:bookmarkStart w:id="96" w:name="_Toc1820"/>
      <w:r>
        <w:rPr>
          <w:rFonts w:hint="eastAsia" w:ascii="黑体" w:hAnsi="黑体" w:eastAsia="黑体"/>
          <w:b w:val="0"/>
        </w:rPr>
        <w:t>第四部分 附件</w:t>
      </w:r>
      <w:bookmarkEnd w:id="95"/>
      <w:bookmarkEnd w:id="96"/>
    </w:p>
    <w:p w14:paraId="39F1D5FC">
      <w:pPr>
        <w:pageBreakBefore w:val="0"/>
        <w:widowControl w:val="0"/>
        <w:kinsoku/>
        <w:wordWrap/>
        <w:overflowPunct/>
        <w:topLinePunct w:val="0"/>
        <w:autoSpaceDE/>
        <w:autoSpaceDN/>
        <w:bidi w:val="0"/>
        <w:adjustRightInd/>
        <w:snapToGrid/>
        <w:spacing w:line="520" w:lineRule="exact"/>
        <w:textAlignment w:val="auto"/>
        <w:outlineLvl w:val="1"/>
        <w:rPr>
          <w:rFonts w:ascii="黑体" w:hAnsi="黑体" w:eastAsia="黑体"/>
          <w:sz w:val="32"/>
          <w:szCs w:val="32"/>
        </w:rPr>
      </w:pPr>
      <w:bookmarkStart w:id="97" w:name="_Toc12270"/>
      <w:bookmarkStart w:id="98" w:name="_Toc19966"/>
      <w:r>
        <w:rPr>
          <w:rFonts w:hint="eastAsia" w:ascii="黑体" w:hAnsi="黑体" w:eastAsia="黑体"/>
          <w:sz w:val="32"/>
          <w:szCs w:val="32"/>
        </w:rPr>
        <w:t>附件1</w:t>
      </w:r>
      <w:bookmarkEnd w:id="97"/>
      <w:bookmarkEnd w:id="98"/>
    </w:p>
    <w:p w14:paraId="163EB071">
      <w:pPr>
        <w:jc w:val="center"/>
        <w:rPr>
          <w:rFonts w:hint="default" w:ascii="Arial Unicode MS" w:hAnsi="Arial Unicode MS" w:eastAsia="Arial Unicode MS"/>
          <w:sz w:val="44"/>
          <w:szCs w:val="44"/>
          <w:lang w:val="en-US" w:eastAsia="zh-CN"/>
        </w:rPr>
      </w:pPr>
      <w:r>
        <w:rPr>
          <w:rFonts w:hint="eastAsia" w:ascii="Arial Unicode MS" w:hAnsi="Arial Unicode MS" w:eastAsia="Arial Unicode MS"/>
          <w:sz w:val="44"/>
          <w:szCs w:val="44"/>
          <w:lang w:val="en-US" w:eastAsia="zh-CN"/>
        </w:rPr>
        <w:t>射洪市交通运输局</w:t>
      </w:r>
    </w:p>
    <w:p w14:paraId="29FD5003">
      <w:pPr>
        <w:jc w:val="center"/>
        <w:rPr>
          <w:rFonts w:ascii="Arial Unicode MS" w:hAnsi="Arial Unicode MS" w:eastAsia="Arial Unicode MS"/>
          <w:sz w:val="44"/>
          <w:szCs w:val="44"/>
        </w:rPr>
      </w:pPr>
      <w:r>
        <w:rPr>
          <w:rFonts w:hint="eastAsia" w:ascii="Arial Unicode MS" w:hAnsi="Arial Unicode MS" w:eastAsia="Arial Unicode MS"/>
          <w:sz w:val="44"/>
          <w:szCs w:val="44"/>
          <w:lang w:val="en-US" w:eastAsia="zh-CN"/>
        </w:rPr>
        <w:t>2023年</w:t>
      </w:r>
      <w:r>
        <w:rPr>
          <w:rFonts w:hint="eastAsia" w:ascii="Arial Unicode MS" w:hAnsi="Arial Unicode MS" w:eastAsia="Arial Unicode MS"/>
          <w:sz w:val="44"/>
          <w:szCs w:val="44"/>
        </w:rPr>
        <w:t>部门预算绩效评价报告</w:t>
      </w:r>
    </w:p>
    <w:p w14:paraId="6E21DC99"/>
    <w:p w14:paraId="05AF072B">
      <w:pPr>
        <w:outlineLvl w:val="1"/>
        <w:rPr>
          <w:rFonts w:ascii="黑体" w:hAnsi="黑体" w:eastAsia="黑体"/>
          <w:sz w:val="32"/>
          <w:szCs w:val="32"/>
        </w:rPr>
      </w:pPr>
      <w:bookmarkStart w:id="99" w:name="_Toc25467"/>
      <w:bookmarkStart w:id="100" w:name="_Toc14474"/>
      <w:r>
        <w:rPr>
          <w:rFonts w:hint="eastAsia" w:ascii="黑体" w:hAnsi="黑体" w:eastAsia="黑体"/>
          <w:sz w:val="32"/>
          <w:szCs w:val="32"/>
        </w:rPr>
        <w:t>一、部门（单位）基本情况</w:t>
      </w:r>
      <w:bookmarkEnd w:id="99"/>
      <w:bookmarkEnd w:id="100"/>
    </w:p>
    <w:p w14:paraId="00AECE8F">
      <w:pPr>
        <w:ind w:firstLine="643" w:firstLineChars="200"/>
        <w:rPr>
          <w:rFonts w:hint="eastAsia" w:ascii="仿宋_GB2312" w:eastAsia="仿宋_GB2312"/>
          <w:sz w:val="32"/>
          <w:szCs w:val="32"/>
        </w:rPr>
      </w:pPr>
      <w:r>
        <w:rPr>
          <w:rFonts w:hint="eastAsia" w:ascii="楷体_GB2312" w:eastAsia="楷体_GB2312"/>
          <w:b/>
          <w:sz w:val="32"/>
          <w:szCs w:val="32"/>
        </w:rPr>
        <w:t>（一）机构组成。</w:t>
      </w:r>
    </w:p>
    <w:p w14:paraId="6855DFCE">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highlight w:val="none"/>
          <w:lang w:val="en-US" w:eastAsia="zh-CN"/>
        </w:rPr>
      </w:pPr>
      <w:r>
        <w:rPr>
          <w:rStyle w:val="36"/>
          <w:rFonts w:hint="eastAsia" w:ascii="仿宋_GB2312" w:hAnsi="仿宋_GB2312" w:eastAsia="仿宋_GB2312"/>
          <w:sz w:val="32"/>
          <w:szCs w:val="22"/>
          <w:highlight w:val="none"/>
          <w:lang w:val="en-US" w:eastAsia="zh-CN"/>
        </w:rPr>
        <w:t>射洪市交通运输局</w:t>
      </w:r>
      <w:r>
        <w:rPr>
          <w:rFonts w:hint="eastAsia" w:ascii="仿宋" w:hAnsi="仿宋" w:eastAsia="仿宋"/>
          <w:sz w:val="32"/>
          <w:szCs w:val="32"/>
        </w:rPr>
        <w:t>为一级预算单位，其中行政单位1个：</w:t>
      </w:r>
      <w:r>
        <w:rPr>
          <w:rStyle w:val="36"/>
          <w:rFonts w:hint="eastAsia" w:ascii="仿宋_GB2312" w:hAnsi="仿宋_GB2312" w:eastAsia="仿宋_GB2312"/>
          <w:sz w:val="32"/>
          <w:szCs w:val="22"/>
          <w:highlight w:val="none"/>
          <w:lang w:val="en-US" w:eastAsia="zh-CN"/>
        </w:rPr>
        <w:t>射洪市交通运输局，</w:t>
      </w:r>
      <w:r>
        <w:rPr>
          <w:rFonts w:hint="eastAsia" w:ascii="仿宋" w:hAnsi="仿宋" w:eastAsia="仿宋"/>
          <w:sz w:val="32"/>
          <w:szCs w:val="32"/>
          <w:lang w:val="en-US" w:eastAsia="zh-CN"/>
        </w:rPr>
        <w:t>内设股室9个，分别为：办公室、机关党办、财务股、综合规划股、建设管理股、运输管理股(市交通战备股、寄递办）、安全应急股、法制股。</w:t>
      </w:r>
      <w:r>
        <w:rPr>
          <w:rStyle w:val="36"/>
          <w:rFonts w:hint="eastAsia" w:ascii="仿宋_GB2312" w:hAnsi="仿宋_GB2312" w:eastAsia="仿宋_GB2312"/>
          <w:sz w:val="32"/>
          <w:szCs w:val="22"/>
          <w:highlight w:val="none"/>
          <w:lang w:val="en-US" w:eastAsia="zh-CN"/>
        </w:rPr>
        <w:t>下属二级预算单位3个，其中财政全额拨款事业单位1个，其他事业单位2个。</w:t>
      </w:r>
    </w:p>
    <w:p w14:paraId="12F8DC7C">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color w:val="auto"/>
          <w:sz w:val="32"/>
          <w:szCs w:val="32"/>
          <w:highlight w:val="none"/>
        </w:rPr>
      </w:pPr>
      <w:r>
        <w:rPr>
          <w:rFonts w:hint="eastAsia" w:ascii="仿宋" w:hAnsi="仿宋" w:eastAsia="仿宋"/>
          <w:color w:val="auto"/>
          <w:sz w:val="32"/>
          <w:szCs w:val="32"/>
          <w:highlight w:val="none"/>
        </w:rPr>
        <w:t>纳入</w:t>
      </w:r>
      <w:r>
        <w:rPr>
          <w:rStyle w:val="36"/>
          <w:rFonts w:hint="eastAsia" w:ascii="仿宋_GB2312" w:hAnsi="仿宋_GB2312" w:eastAsia="仿宋_GB2312"/>
          <w:sz w:val="32"/>
          <w:szCs w:val="22"/>
          <w:highlight w:val="none"/>
          <w:lang w:val="en-US" w:eastAsia="zh-CN"/>
        </w:rPr>
        <w:t>射洪市交通运输局</w:t>
      </w:r>
      <w:r>
        <w:rPr>
          <w:rFonts w:hint="eastAsia" w:ascii="仿宋" w:hAnsi="仿宋" w:eastAsia="仿宋"/>
          <w:color w:val="auto"/>
          <w:sz w:val="32"/>
          <w:szCs w:val="32"/>
          <w:highlight w:val="none"/>
          <w:lang w:eastAsia="zh-CN"/>
        </w:rPr>
        <w:t>2023</w:t>
      </w:r>
      <w:r>
        <w:rPr>
          <w:rFonts w:hint="eastAsia" w:ascii="仿宋" w:hAnsi="仿宋" w:eastAsia="仿宋"/>
          <w:color w:val="auto"/>
          <w:sz w:val="32"/>
          <w:szCs w:val="32"/>
          <w:highlight w:val="none"/>
        </w:rPr>
        <w:t>年度部门决算编制范围的二级预算单位包括：</w:t>
      </w:r>
    </w:p>
    <w:p w14:paraId="0FAFDC8C">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1.四川省射洪市地方海事处</w:t>
      </w:r>
    </w:p>
    <w:p w14:paraId="2CDA9289">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default" w:ascii="仿宋" w:hAnsi="仿宋" w:eastAsia="仿宋" w:cs="Times New Roman"/>
          <w:sz w:val="32"/>
          <w:szCs w:val="32"/>
          <w:lang w:val="en-US" w:eastAsia="zh-CN"/>
        </w:rPr>
      </w:pPr>
      <w:r>
        <w:rPr>
          <w:rFonts w:hint="eastAsia" w:ascii="仿宋" w:hAnsi="仿宋" w:eastAsia="仿宋" w:cs="Times New Roman"/>
          <w:sz w:val="32"/>
          <w:szCs w:val="32"/>
          <w:lang w:val="en-US" w:eastAsia="zh-CN"/>
        </w:rPr>
        <w:t>2.射洪市水上应急救援中心</w:t>
      </w:r>
    </w:p>
    <w:p w14:paraId="1814921D">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 w:hAnsi="仿宋" w:eastAsia="仿宋" w:cs="Times New Roman"/>
          <w:sz w:val="32"/>
          <w:szCs w:val="32"/>
          <w:lang w:val="en-US" w:eastAsia="zh-CN"/>
        </w:rPr>
      </w:pPr>
      <w:r>
        <w:rPr>
          <w:rFonts w:hint="eastAsia" w:ascii="仿宋" w:hAnsi="仿宋" w:eastAsia="仿宋" w:cs="Times New Roman"/>
          <w:sz w:val="32"/>
          <w:szCs w:val="32"/>
          <w:lang w:val="en-US" w:eastAsia="zh-CN"/>
        </w:rPr>
        <w:t>3.射洪市交通运输局道路运输管理所</w:t>
      </w:r>
    </w:p>
    <w:p w14:paraId="415072D0">
      <w:pPr>
        <w:ind w:firstLine="643" w:firstLineChars="200"/>
        <w:rPr>
          <w:rFonts w:hint="eastAsia" w:ascii="仿宋_GB2312" w:eastAsia="仿宋_GB2312"/>
          <w:sz w:val="32"/>
          <w:szCs w:val="32"/>
        </w:rPr>
      </w:pPr>
      <w:r>
        <w:rPr>
          <w:rFonts w:hint="eastAsia" w:ascii="楷体_GB2312" w:eastAsia="楷体_GB2312"/>
          <w:b/>
          <w:sz w:val="32"/>
          <w:szCs w:val="32"/>
        </w:rPr>
        <w:t>（二）机构职能。</w:t>
      </w:r>
    </w:p>
    <w:p w14:paraId="45691FE3">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1、贯彻执行国家和省市有关交通运输行业的方针、政策和法律法规；负责本部门依法行政工作，落实行政执法责任制；指导公路水路行业有关体制改革工作，承担全县、省县乡公路管理的有关工作；</w:t>
      </w:r>
    </w:p>
    <w:p w14:paraId="0B26A9F1">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Style w:val="36"/>
          <w:rFonts w:hint="eastAsia" w:ascii="仿宋_GB2312" w:hAnsi="仿宋_GB2312" w:eastAsia="仿宋_GB2312"/>
          <w:sz w:val="32"/>
          <w:szCs w:val="22"/>
          <w:lang w:val="en-US" w:eastAsia="zh-CN"/>
        </w:rPr>
      </w:pPr>
      <w:r>
        <w:rPr>
          <w:rStyle w:val="36"/>
          <w:rFonts w:hint="eastAsia" w:ascii="仿宋_GB2312" w:hAnsi="仿宋_GB2312" w:eastAsia="仿宋_GB2312"/>
          <w:sz w:val="32"/>
          <w:szCs w:val="22"/>
          <w:lang w:val="en-US" w:eastAsia="zh-CN"/>
        </w:rPr>
        <w:t>2、承担道路、水路交通运输市场监管责任，组织监督道路、水路运输有关政策、技术标准和运营规范的贯彻实施，指导城乡运输管理工作，指导城市公交客运和出租汽车行业管理工作，会同有关部门制定运输价格；承担水上交通安全监管责任；负责提出公路水路固定资产投资规模和方向、财政性资金安排建议，按照规定权限审批、核准市、县规划内和年度计划规模内固定资产投资项目；承担公路、水路建设市场监管责任；</w:t>
      </w:r>
    </w:p>
    <w:p w14:paraId="61E9953F">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default" w:ascii="Times New Roman" w:hAnsi="Times New Roman" w:eastAsia="仿宋_GB2312" w:cs="Times New Roman"/>
          <w:b w:val="0"/>
          <w:bCs w:val="0"/>
          <w:snapToGrid w:val="0"/>
          <w:color w:val="auto"/>
          <w:kern w:val="0"/>
          <w:sz w:val="32"/>
          <w:szCs w:val="32"/>
          <w:lang w:val="en-US" w:eastAsia="zh-CN"/>
        </w:rPr>
      </w:pPr>
      <w:r>
        <w:rPr>
          <w:rStyle w:val="36"/>
          <w:rFonts w:hint="eastAsia" w:ascii="仿宋_GB2312" w:hAnsi="仿宋_GB2312" w:eastAsia="仿宋_GB2312"/>
          <w:sz w:val="32"/>
          <w:szCs w:val="22"/>
          <w:lang w:val="en-US" w:eastAsia="zh-CN"/>
        </w:rPr>
        <w:t>3、指导公路、水路行业安全生产和应急管理工作；监督实施交通运输科技政策，组织重大科技开发；负责公路、水路有关涉外工作，开展对外技术交流与合作等职责</w:t>
      </w:r>
      <w:r>
        <w:rPr>
          <w:rStyle w:val="36"/>
          <w:rFonts w:hint="eastAsia" w:ascii="仿宋_GB2312" w:hAnsi="仿宋_GB2312" w:eastAsia="仿宋_GB2312"/>
          <w:sz w:val="32"/>
          <w:szCs w:val="22"/>
          <w:lang w:eastAsia="zh-CN"/>
        </w:rPr>
        <w:t>。</w:t>
      </w:r>
    </w:p>
    <w:p w14:paraId="1A2EC0C8">
      <w:pPr>
        <w:keepNext w:val="0"/>
        <w:keepLines w:val="0"/>
        <w:widowControl/>
        <w:suppressLineNumbers w:val="0"/>
        <w:jc w:val="left"/>
        <w:rPr>
          <w:rFonts w:hint="eastAsia" w:ascii="楷体_GB2312" w:eastAsia="楷体_GB2312"/>
          <w:b/>
          <w:sz w:val="32"/>
          <w:szCs w:val="32"/>
        </w:rPr>
      </w:pPr>
      <w:r>
        <w:rPr>
          <w:rFonts w:hint="eastAsia" w:ascii="楷体_GB2312" w:eastAsia="楷体_GB2312"/>
          <w:b/>
          <w:sz w:val="32"/>
          <w:szCs w:val="32"/>
        </w:rPr>
        <w:t>（三）人员概况。</w:t>
      </w:r>
    </w:p>
    <w:p w14:paraId="115F1249">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仿宋_GB2312" w:hAnsi="Times New Roman" w:eastAsia="仿宋_GB2312" w:cs="Times New Roman"/>
          <w:sz w:val="32"/>
          <w:szCs w:val="32"/>
        </w:rPr>
      </w:pPr>
      <w:r>
        <w:rPr>
          <w:rFonts w:hint="eastAsia" w:eastAsia="仿宋_GB2312"/>
          <w:sz w:val="32"/>
          <w:szCs w:val="32"/>
          <w:lang w:val="en-US" w:eastAsia="zh-CN"/>
        </w:rPr>
        <w:t>射洪市交通运输局</w:t>
      </w:r>
      <w:r>
        <w:rPr>
          <w:rFonts w:hint="default" w:ascii="仿宋_GB2312" w:hAnsi="Times New Roman" w:eastAsia="仿宋_GB2312" w:cs="Times New Roman"/>
          <w:sz w:val="32"/>
          <w:szCs w:val="32"/>
          <w:lang w:val="en-US" w:eastAsia="zh-CN"/>
        </w:rPr>
        <w:t>202</w:t>
      </w:r>
      <w:r>
        <w:rPr>
          <w:rFonts w:hint="eastAsia" w:ascii="仿宋_GB2312" w:hAnsi="Times New Roman" w:eastAsia="仿宋_GB2312" w:cs="Times New Roman"/>
          <w:sz w:val="32"/>
          <w:szCs w:val="32"/>
          <w:lang w:val="en-US" w:eastAsia="zh-CN"/>
        </w:rPr>
        <w:t>3</w:t>
      </w:r>
      <w:r>
        <w:rPr>
          <w:rFonts w:hint="default" w:ascii="仿宋_GB2312" w:hAnsi="Times New Roman" w:eastAsia="仿宋_GB2312" w:cs="Times New Roman"/>
          <w:sz w:val="32"/>
          <w:szCs w:val="32"/>
          <w:lang w:val="en-US" w:eastAsia="zh-CN"/>
        </w:rPr>
        <w:t xml:space="preserve"> </w:t>
      </w:r>
      <w:r>
        <w:rPr>
          <w:rFonts w:hint="eastAsia" w:ascii="仿宋_GB2312" w:hAnsi="Times New Roman" w:eastAsia="仿宋_GB2312" w:cs="Times New Roman"/>
          <w:sz w:val="32"/>
          <w:szCs w:val="32"/>
          <w:lang w:val="en-US" w:eastAsia="zh-CN"/>
        </w:rPr>
        <w:t>年末在职人员99</w:t>
      </w:r>
      <w:r>
        <w:rPr>
          <w:rFonts w:hint="default" w:ascii="仿宋_GB2312" w:hAnsi="Times New Roman" w:eastAsia="仿宋_GB2312" w:cs="Times New Roman"/>
          <w:sz w:val="32"/>
          <w:szCs w:val="32"/>
          <w:lang w:val="en-US" w:eastAsia="zh-CN"/>
        </w:rPr>
        <w:t xml:space="preserve">人，其中：行政人员 </w:t>
      </w:r>
      <w:r>
        <w:rPr>
          <w:rFonts w:hint="eastAsia" w:ascii="仿宋_GB2312" w:hAnsi="Times New Roman" w:eastAsia="仿宋_GB2312" w:cs="Times New Roman"/>
          <w:sz w:val="32"/>
          <w:szCs w:val="32"/>
          <w:lang w:val="en-US" w:eastAsia="zh-CN"/>
        </w:rPr>
        <w:t>14</w:t>
      </w:r>
      <w:r>
        <w:rPr>
          <w:rFonts w:hint="default" w:ascii="仿宋_GB2312" w:hAnsi="Times New Roman" w:eastAsia="仿宋_GB2312" w:cs="Times New Roman"/>
          <w:sz w:val="32"/>
          <w:szCs w:val="32"/>
          <w:lang w:val="en-US" w:eastAsia="zh-CN"/>
        </w:rPr>
        <w:t xml:space="preserve">人，参照公务员法管理事业单位人员 </w:t>
      </w:r>
      <w:r>
        <w:rPr>
          <w:rFonts w:hint="eastAsia" w:ascii="仿宋_GB2312" w:hAnsi="Times New Roman" w:eastAsia="仿宋_GB2312" w:cs="Times New Roman"/>
          <w:sz w:val="32"/>
          <w:szCs w:val="32"/>
          <w:lang w:val="en-US" w:eastAsia="zh-CN"/>
        </w:rPr>
        <w:t>53</w:t>
      </w:r>
      <w:r>
        <w:rPr>
          <w:rFonts w:hint="default" w:ascii="仿宋_GB2312" w:hAnsi="Times New Roman" w:eastAsia="仿宋_GB2312" w:cs="Times New Roman"/>
          <w:sz w:val="32"/>
          <w:szCs w:val="32"/>
          <w:lang w:val="en-US" w:eastAsia="zh-CN"/>
        </w:rPr>
        <w:t xml:space="preserve"> 人，非参公事业人员 </w:t>
      </w:r>
      <w:r>
        <w:rPr>
          <w:rFonts w:hint="eastAsia" w:ascii="仿宋_GB2312" w:hAnsi="Times New Roman" w:eastAsia="仿宋_GB2312" w:cs="Times New Roman"/>
          <w:sz w:val="32"/>
          <w:szCs w:val="32"/>
          <w:lang w:val="en-US" w:eastAsia="zh-CN"/>
        </w:rPr>
        <w:t>32</w:t>
      </w:r>
      <w:r>
        <w:rPr>
          <w:rFonts w:hint="default" w:ascii="仿宋_GB2312" w:hAnsi="Times New Roman" w:eastAsia="仿宋_GB2312" w:cs="Times New Roman"/>
          <w:sz w:val="32"/>
          <w:szCs w:val="32"/>
          <w:lang w:val="en-US" w:eastAsia="zh-CN"/>
        </w:rPr>
        <w:t>人</w:t>
      </w:r>
      <w:r>
        <w:rPr>
          <w:rFonts w:hint="eastAsia" w:ascii="仿宋_GB2312" w:hAnsi="Times New Roman" w:eastAsia="仿宋_GB2312" w:cs="Times New Roman"/>
          <w:sz w:val="32"/>
          <w:szCs w:val="32"/>
          <w:lang w:val="en-US" w:eastAsia="zh-CN"/>
        </w:rPr>
        <w:t>。</w:t>
      </w:r>
    </w:p>
    <w:p w14:paraId="5A5BB932">
      <w:pPr>
        <w:outlineLvl w:val="1"/>
        <w:rPr>
          <w:rFonts w:ascii="黑体" w:hAnsi="黑体" w:eastAsia="黑体"/>
          <w:sz w:val="32"/>
          <w:szCs w:val="32"/>
        </w:rPr>
      </w:pPr>
      <w:bookmarkStart w:id="101" w:name="_Toc28936"/>
      <w:bookmarkStart w:id="102" w:name="_Toc12222"/>
      <w:r>
        <w:rPr>
          <w:rFonts w:hint="eastAsia" w:ascii="黑体" w:hAnsi="黑体" w:eastAsia="黑体"/>
          <w:sz w:val="32"/>
          <w:szCs w:val="32"/>
        </w:rPr>
        <w:t>二、部门资金收支情况</w:t>
      </w:r>
      <w:bookmarkEnd w:id="101"/>
      <w:bookmarkEnd w:id="102"/>
    </w:p>
    <w:p w14:paraId="2EFCF8B2">
      <w:pPr>
        <w:ind w:firstLine="643" w:firstLineChars="200"/>
        <w:rPr>
          <w:rFonts w:hint="eastAsia" w:ascii="仿宋_GB2312" w:eastAsia="仿宋_GB2312"/>
          <w:sz w:val="32"/>
          <w:szCs w:val="32"/>
        </w:rPr>
      </w:pPr>
      <w:r>
        <w:rPr>
          <w:rFonts w:hint="eastAsia" w:ascii="楷体_GB2312" w:eastAsia="楷体_GB2312"/>
          <w:b/>
          <w:sz w:val="32"/>
          <w:szCs w:val="32"/>
        </w:rPr>
        <w:t>（一）收入情况。</w:t>
      </w:r>
    </w:p>
    <w:p w14:paraId="707A7732">
      <w:pPr>
        <w:spacing w:line="600" w:lineRule="exact"/>
        <w:ind w:firstLine="640" w:firstLineChars="200"/>
        <w:jc w:val="left"/>
        <w:rPr>
          <w:rFonts w:ascii="仿宋" w:hAnsi="仿宋" w:eastAsia="仿宋"/>
          <w:sz w:val="32"/>
          <w:szCs w:val="32"/>
        </w:rPr>
      </w:pPr>
      <w:r>
        <w:rPr>
          <w:rFonts w:hint="eastAsia" w:ascii="Times New Roman" w:hAnsi="Times New Roman" w:eastAsia="仿宋_GB2312" w:cs="Times New Roman"/>
          <w:sz w:val="32"/>
          <w:szCs w:val="32"/>
          <w:lang w:val="en-US" w:eastAsia="zh-CN"/>
        </w:rPr>
        <w:t>市交通运输局2023年收入预算</w:t>
      </w:r>
      <w:r>
        <w:rPr>
          <w:rFonts w:hint="eastAsia"/>
          <w:sz w:val="32"/>
          <w:szCs w:val="32"/>
        </w:rPr>
        <w:t>14272.27</w:t>
      </w:r>
      <w:r>
        <w:rPr>
          <w:rFonts w:hint="eastAsia" w:ascii="仿宋" w:hAnsi="仿宋" w:eastAsia="仿宋"/>
          <w:sz w:val="32"/>
          <w:szCs w:val="32"/>
        </w:rPr>
        <w:t>万元</w:t>
      </w:r>
      <w:r>
        <w:rPr>
          <w:rFonts w:hint="eastAsia"/>
          <w:sz w:val="32"/>
          <w:szCs w:val="32"/>
        </w:rPr>
        <w:t>。</w:t>
      </w:r>
      <w:r>
        <w:rPr>
          <w:rFonts w:hint="eastAsia" w:ascii="仿宋" w:hAnsi="仿宋" w:eastAsia="仿宋"/>
          <w:sz w:val="32"/>
          <w:szCs w:val="32"/>
        </w:rPr>
        <w:t>与2022年度相比增加</w:t>
      </w:r>
      <w:r>
        <w:rPr>
          <w:rFonts w:hint="eastAsia" w:ascii="仿宋" w:hAnsi="仿宋" w:eastAsia="仿宋"/>
          <w:sz w:val="32"/>
          <w:szCs w:val="32"/>
          <w:lang w:val="en-US" w:eastAsia="zh-CN"/>
        </w:rPr>
        <w:t>493.38</w:t>
      </w:r>
      <w:r>
        <w:rPr>
          <w:rFonts w:hint="eastAsia" w:ascii="仿宋" w:hAnsi="仿宋" w:eastAsia="仿宋"/>
          <w:sz w:val="32"/>
          <w:szCs w:val="32"/>
        </w:rPr>
        <w:t>万元，增长</w:t>
      </w:r>
      <w:r>
        <w:rPr>
          <w:rFonts w:hint="eastAsia" w:ascii="仿宋" w:hAnsi="仿宋" w:eastAsia="仿宋"/>
          <w:sz w:val="32"/>
          <w:szCs w:val="32"/>
          <w:lang w:val="en-US" w:eastAsia="zh-CN"/>
        </w:rPr>
        <w:t>3.58</w:t>
      </w:r>
      <w:r>
        <w:rPr>
          <w:rFonts w:ascii="仿宋" w:hAnsi="仿宋" w:eastAsia="仿宋"/>
          <w:sz w:val="32"/>
          <w:szCs w:val="32"/>
        </w:rPr>
        <w:t>%</w:t>
      </w:r>
      <w:r>
        <w:rPr>
          <w:rFonts w:hint="eastAsia" w:ascii="仿宋" w:hAnsi="仿宋" w:eastAsia="仿宋"/>
          <w:sz w:val="32"/>
          <w:szCs w:val="32"/>
        </w:rPr>
        <w:t>。主要变动原因是本年度项目资金增加。</w:t>
      </w:r>
      <w:r>
        <w:rPr>
          <w:rFonts w:hint="eastAsia" w:ascii="Times New Roman" w:hAnsi="Times New Roman" w:eastAsia="仿宋_GB2312" w:cs="Times New Roman"/>
          <w:sz w:val="32"/>
          <w:szCs w:val="32"/>
          <w:lang w:val="en-US" w:eastAsia="zh-CN"/>
        </w:rPr>
        <w:t>其中：一般公共预算拨款收入</w:t>
      </w:r>
      <w:r>
        <w:rPr>
          <w:rFonts w:hint="eastAsia"/>
          <w:sz w:val="32"/>
          <w:szCs w:val="32"/>
        </w:rPr>
        <w:t>14272.27</w:t>
      </w:r>
      <w:r>
        <w:rPr>
          <w:rFonts w:hint="eastAsia" w:ascii="仿宋" w:hAnsi="仿宋" w:eastAsia="仿宋"/>
          <w:sz w:val="32"/>
          <w:szCs w:val="32"/>
        </w:rPr>
        <w:t>万元</w:t>
      </w:r>
      <w:r>
        <w:rPr>
          <w:rFonts w:hint="eastAsia" w:ascii="仿宋" w:hAnsi="仿宋" w:eastAsia="仿宋"/>
          <w:sz w:val="32"/>
          <w:szCs w:val="32"/>
          <w:lang w:eastAsia="zh-CN"/>
        </w:rPr>
        <w:t>，</w:t>
      </w:r>
      <w:r>
        <w:rPr>
          <w:rFonts w:hint="eastAsia" w:ascii="Times New Roman" w:hAnsi="Times New Roman" w:eastAsia="仿宋_GB2312" w:cs="Times New Roman"/>
          <w:sz w:val="32"/>
          <w:szCs w:val="32"/>
          <w:lang w:val="en-US" w:eastAsia="zh-CN"/>
        </w:rPr>
        <w:t>占100%。</w:t>
      </w:r>
    </w:p>
    <w:p w14:paraId="4F726DA7">
      <w:pPr>
        <w:keepNext w:val="0"/>
        <w:keepLines w:val="0"/>
        <w:pageBreakBefore w:val="0"/>
        <w:widowControl w:val="0"/>
        <w:suppressAutoHyphens/>
        <w:kinsoku/>
        <w:wordWrap/>
        <w:overflowPunct/>
        <w:topLinePunct w:val="0"/>
        <w:autoSpaceDE/>
        <w:autoSpaceDN/>
        <w:bidi w:val="0"/>
        <w:adjustRightInd w:val="0"/>
        <w:snapToGrid w:val="0"/>
        <w:spacing w:line="336" w:lineRule="auto"/>
        <w:ind w:firstLine="640" w:firstLineChars="200"/>
        <w:jc w:val="both"/>
        <w:textAlignment w:val="auto"/>
        <w:rPr>
          <w:rFonts w:hint="eastAsia" w:ascii="Times New Roman" w:hAnsi="Times New Roman" w:eastAsia="仿宋_GB2312" w:cs="Times New Roman"/>
          <w:sz w:val="32"/>
          <w:szCs w:val="32"/>
          <w:lang w:val="en-US" w:eastAsia="zh-CN"/>
        </w:rPr>
      </w:pPr>
    </w:p>
    <w:p w14:paraId="5BDABEBD">
      <w:pPr>
        <w:numPr>
          <w:ilvl w:val="0"/>
          <w:numId w:val="4"/>
        </w:numPr>
        <w:ind w:firstLine="643" w:firstLineChars="200"/>
        <w:rPr>
          <w:rFonts w:hint="eastAsia" w:ascii="仿宋_GB2312" w:eastAsia="仿宋_GB2312"/>
          <w:sz w:val="32"/>
          <w:szCs w:val="32"/>
        </w:rPr>
      </w:pPr>
      <w:r>
        <w:rPr>
          <w:rFonts w:hint="eastAsia" w:ascii="楷体_GB2312" w:eastAsia="楷体_GB2312"/>
          <w:b/>
          <w:sz w:val="32"/>
          <w:szCs w:val="32"/>
        </w:rPr>
        <w:t>支出情况。</w:t>
      </w:r>
    </w:p>
    <w:p w14:paraId="26BEF836">
      <w:pPr>
        <w:pStyle w:val="6"/>
        <w:spacing w:before="192" w:line="328" w:lineRule="auto"/>
        <w:ind w:right="24" w:firstLine="649"/>
        <w:rPr>
          <w:rFonts w:ascii="宋体" w:hAnsi="宋体" w:eastAsia="宋体" w:cs="宋体"/>
          <w:sz w:val="33"/>
          <w:szCs w:val="33"/>
        </w:rPr>
      </w:pPr>
      <w:r>
        <w:rPr>
          <w:rFonts w:hint="eastAsia" w:hAnsi="Times New Roman" w:cs="Times New Roman"/>
          <w:sz w:val="32"/>
          <w:szCs w:val="32"/>
        </w:rPr>
        <w:t>市交通运输局2023年支出预算</w:t>
      </w:r>
      <w:r>
        <w:rPr>
          <w:rFonts w:hint="eastAsia"/>
          <w:sz w:val="32"/>
          <w:szCs w:val="32"/>
        </w:rPr>
        <w:t>14272.27</w:t>
      </w:r>
      <w:r>
        <w:rPr>
          <w:rFonts w:hint="eastAsia" w:hAnsi="Times New Roman" w:cs="Times New Roman"/>
          <w:sz w:val="32"/>
          <w:szCs w:val="32"/>
        </w:rPr>
        <w:t>万元，其中：基本支出</w:t>
      </w:r>
      <w:r>
        <w:rPr>
          <w:rFonts w:hint="eastAsia" w:hAnsi="Times New Roman" w:cs="Times New Roman"/>
          <w:sz w:val="32"/>
          <w:szCs w:val="32"/>
          <w:lang w:val="en-US" w:eastAsia="zh-CN"/>
        </w:rPr>
        <w:t>2265.07</w:t>
      </w:r>
      <w:r>
        <w:rPr>
          <w:rFonts w:hint="eastAsia" w:hAnsi="Times New Roman" w:cs="Times New Roman"/>
          <w:sz w:val="32"/>
          <w:szCs w:val="32"/>
        </w:rPr>
        <w:t>万元，占比</w:t>
      </w:r>
      <w:r>
        <w:rPr>
          <w:rFonts w:hint="eastAsia" w:hAnsi="Times New Roman" w:cs="Times New Roman"/>
          <w:sz w:val="32"/>
          <w:szCs w:val="32"/>
          <w:lang w:val="en-US" w:eastAsia="zh-CN"/>
        </w:rPr>
        <w:t>15.87</w:t>
      </w:r>
      <w:r>
        <w:rPr>
          <w:rFonts w:hint="eastAsia" w:hAnsi="Times New Roman" w:cs="Times New Roman"/>
          <w:sz w:val="32"/>
          <w:szCs w:val="32"/>
        </w:rPr>
        <w:t>%,项目支出</w:t>
      </w:r>
      <w:r>
        <w:rPr>
          <w:rFonts w:hint="eastAsia" w:hAnsi="Times New Roman" w:cs="Times New Roman"/>
          <w:sz w:val="32"/>
          <w:szCs w:val="32"/>
          <w:lang w:val="en-US" w:eastAsia="zh-CN"/>
        </w:rPr>
        <w:t>12007.20</w:t>
      </w:r>
      <w:r>
        <w:rPr>
          <w:rFonts w:hint="eastAsia" w:hAnsi="Times New Roman" w:cs="Times New Roman"/>
          <w:sz w:val="32"/>
          <w:szCs w:val="32"/>
        </w:rPr>
        <w:t>万元，占比</w:t>
      </w:r>
      <w:r>
        <w:rPr>
          <w:rFonts w:hint="eastAsia" w:hAnsi="Times New Roman" w:cs="Times New Roman"/>
          <w:sz w:val="32"/>
          <w:szCs w:val="32"/>
          <w:lang w:val="en-US" w:eastAsia="zh-CN"/>
        </w:rPr>
        <w:t>84.13</w:t>
      </w:r>
      <w:r>
        <w:rPr>
          <w:rFonts w:hint="eastAsia" w:hAnsi="Times New Roman" w:cs="Times New Roman"/>
          <w:sz w:val="32"/>
          <w:szCs w:val="32"/>
        </w:rPr>
        <w:t>%。</w:t>
      </w:r>
    </w:p>
    <w:p w14:paraId="5507D4E4">
      <w:pPr>
        <w:numPr>
          <w:ilvl w:val="0"/>
          <w:numId w:val="4"/>
        </w:numPr>
        <w:ind w:left="0" w:leftChars="0" w:firstLine="643" w:firstLineChars="200"/>
        <w:rPr>
          <w:rFonts w:hint="eastAsia" w:ascii="楷体_GB2312" w:eastAsia="楷体_GB2312"/>
          <w:b/>
          <w:sz w:val="32"/>
          <w:szCs w:val="32"/>
        </w:rPr>
      </w:pPr>
      <w:r>
        <w:rPr>
          <w:rFonts w:hint="eastAsia" w:ascii="楷体_GB2312" w:eastAsia="楷体_GB2312"/>
          <w:b/>
          <w:sz w:val="32"/>
          <w:szCs w:val="32"/>
        </w:rPr>
        <w:t>结余分配和结转结余情况。</w:t>
      </w:r>
    </w:p>
    <w:p w14:paraId="62E5D51A">
      <w:pPr>
        <w:pStyle w:val="6"/>
        <w:spacing w:before="192" w:line="328" w:lineRule="auto"/>
        <w:ind w:right="24" w:firstLine="649"/>
        <w:rPr>
          <w:rFonts w:ascii="仿宋_GB2312" w:eastAsia="仿宋_GB2312"/>
          <w:sz w:val="32"/>
          <w:szCs w:val="32"/>
        </w:rPr>
      </w:pPr>
      <w:r>
        <w:rPr>
          <w:rFonts w:hint="eastAsia" w:hAnsi="Times New Roman" w:cs="Times New Roman"/>
          <w:sz w:val="32"/>
          <w:szCs w:val="32"/>
        </w:rPr>
        <w:t>市交通运输局2023年</w:t>
      </w:r>
      <w:r>
        <w:rPr>
          <w:rFonts w:hint="eastAsia" w:ascii="仿宋_GB2312" w:eastAsia="仿宋_GB2312"/>
          <w:sz w:val="32"/>
          <w:szCs w:val="32"/>
        </w:rPr>
        <w:t>决算报表</w:t>
      </w:r>
      <w:r>
        <w:rPr>
          <w:rFonts w:hint="eastAsia"/>
          <w:sz w:val="32"/>
          <w:szCs w:val="32"/>
          <w:lang w:val="en-US" w:eastAsia="zh-CN"/>
        </w:rPr>
        <w:t>无</w:t>
      </w:r>
      <w:r>
        <w:rPr>
          <w:rFonts w:hint="eastAsia" w:ascii="仿宋_GB2312" w:eastAsia="仿宋_GB2312"/>
          <w:sz w:val="32"/>
          <w:szCs w:val="32"/>
        </w:rPr>
        <w:t>结转结余。</w:t>
      </w:r>
    </w:p>
    <w:p w14:paraId="43A1A385">
      <w:pPr>
        <w:outlineLvl w:val="1"/>
        <w:rPr>
          <w:rFonts w:ascii="黑体" w:hAnsi="黑体" w:eastAsia="黑体"/>
          <w:sz w:val="32"/>
          <w:szCs w:val="32"/>
        </w:rPr>
      </w:pPr>
      <w:bookmarkStart w:id="103" w:name="_Toc24825"/>
      <w:bookmarkStart w:id="104" w:name="_Toc2118"/>
      <w:r>
        <w:rPr>
          <w:rFonts w:hint="eastAsia" w:ascii="黑体" w:hAnsi="黑体" w:eastAsia="黑体"/>
          <w:sz w:val="32"/>
          <w:szCs w:val="32"/>
        </w:rPr>
        <w:t>三、部门预算绩效分析</w:t>
      </w:r>
      <w:bookmarkEnd w:id="103"/>
      <w:bookmarkEnd w:id="104"/>
    </w:p>
    <w:p w14:paraId="5DFFB8C1">
      <w:pPr>
        <w:pStyle w:val="6"/>
        <w:spacing w:before="172" w:line="338" w:lineRule="auto"/>
        <w:ind w:right="3" w:firstLine="649"/>
        <w:jc w:val="both"/>
        <w:rPr>
          <w:rFonts w:hint="eastAsia" w:ascii="仿宋" w:hAnsi="仿宋" w:eastAsia="仿宋" w:cs="仿宋"/>
          <w:sz w:val="32"/>
          <w:szCs w:val="32"/>
        </w:rPr>
      </w:pPr>
      <w:r>
        <w:rPr>
          <w:rFonts w:ascii="楷体" w:hAnsi="楷体" w:eastAsia="楷体" w:cs="楷体"/>
          <w:spacing w:val="-5"/>
          <w:sz w:val="33"/>
          <w:szCs w:val="33"/>
        </w:rPr>
        <w:t>(一)预算编制情况</w:t>
      </w:r>
      <w:r>
        <w:rPr>
          <w:spacing w:val="-5"/>
          <w:sz w:val="33"/>
          <w:szCs w:val="33"/>
        </w:rPr>
        <w:t>。</w:t>
      </w:r>
      <w:r>
        <w:rPr>
          <w:rFonts w:hint="eastAsia" w:ascii="仿宋" w:hAnsi="仿宋" w:eastAsia="仿宋" w:cs="仿宋"/>
          <w:sz w:val="32"/>
          <w:szCs w:val="32"/>
        </w:rPr>
        <w:t>射洪市交通运输局根据本</w:t>
      </w:r>
      <w:r>
        <w:rPr>
          <w:rFonts w:hint="eastAsia" w:ascii="仿宋" w:hAnsi="仿宋" w:eastAsia="仿宋" w:cs="仿宋"/>
          <w:sz w:val="32"/>
          <w:szCs w:val="32"/>
          <w:lang w:val="en-US" w:eastAsia="zh-CN"/>
        </w:rPr>
        <w:t>部门</w:t>
      </w:r>
      <w:r>
        <w:rPr>
          <w:rFonts w:hint="eastAsia" w:ascii="仿宋" w:hAnsi="仿宋" w:eastAsia="仿宋" w:cs="仿宋"/>
          <w:sz w:val="32"/>
          <w:szCs w:val="32"/>
        </w:rPr>
        <w:t>履职要求和事业发展计划，按照统一制定的预算报表及相关管理规定和预算管理一体化规范要求，编制部门综合预算，将所有收支纳入预算管理。</w:t>
      </w:r>
    </w:p>
    <w:p w14:paraId="74319AD0">
      <w:pPr>
        <w:pStyle w:val="6"/>
        <w:spacing w:before="172" w:line="338" w:lineRule="auto"/>
        <w:ind w:right="3" w:firstLine="649"/>
        <w:jc w:val="both"/>
        <w:rPr>
          <w:rFonts w:hint="eastAsia" w:ascii="仿宋" w:hAnsi="仿宋" w:eastAsia="仿宋" w:cs="仿宋"/>
          <w:sz w:val="32"/>
          <w:szCs w:val="32"/>
        </w:rPr>
      </w:pPr>
      <w:r>
        <w:rPr>
          <w:rFonts w:ascii="楷体" w:hAnsi="楷体" w:eastAsia="楷体" w:cs="楷体"/>
          <w:spacing w:val="6"/>
          <w:sz w:val="32"/>
          <w:szCs w:val="32"/>
        </w:rPr>
        <w:t>(二)预算执行情况</w:t>
      </w:r>
      <w:r>
        <w:rPr>
          <w:spacing w:val="6"/>
          <w:sz w:val="32"/>
          <w:szCs w:val="32"/>
        </w:rPr>
        <w:t>。</w:t>
      </w:r>
      <w:r>
        <w:rPr>
          <w:rFonts w:hint="eastAsia" w:ascii="仿宋" w:hAnsi="仿宋" w:eastAsia="仿宋" w:cs="仿宋"/>
          <w:sz w:val="32"/>
          <w:szCs w:val="32"/>
        </w:rPr>
        <w:t>按照厉行节约的要求，严格控制各项支出，确保工作顺利进行的前提下节约成本。严格执行中央八项规定，压缩公用经费支出；严格执行公务接待审批制度，严禁超标准、超人数接待；2023年度无出国境支出。全年无超预算开支 “三公”经费的情况。项目资金根据项目完成情况及时支付，确保全年目标任务完成。各项经费的开支范围均以预算批复数为基准。</w:t>
      </w:r>
    </w:p>
    <w:p w14:paraId="021589BD">
      <w:pPr>
        <w:pStyle w:val="6"/>
        <w:spacing w:before="172" w:line="338" w:lineRule="auto"/>
        <w:ind w:right="3" w:firstLine="649"/>
        <w:jc w:val="both"/>
        <w:rPr>
          <w:rFonts w:hint="eastAsia" w:hAnsi="Times New Roman" w:cs="Times New Roman"/>
          <w:sz w:val="32"/>
          <w:szCs w:val="32"/>
        </w:rPr>
      </w:pPr>
      <w:r>
        <w:rPr>
          <w:rFonts w:ascii="楷体" w:hAnsi="楷体" w:eastAsia="楷体" w:cs="楷体"/>
          <w:spacing w:val="7"/>
          <w:sz w:val="32"/>
          <w:szCs w:val="32"/>
        </w:rPr>
        <w:t>(三)整体绩效情况</w:t>
      </w:r>
      <w:r>
        <w:rPr>
          <w:spacing w:val="7"/>
          <w:sz w:val="32"/>
          <w:szCs w:val="32"/>
        </w:rPr>
        <w:t>。</w:t>
      </w:r>
      <w:r>
        <w:rPr>
          <w:rFonts w:hint="eastAsia" w:hAnsi="Times New Roman" w:cs="Times New Roman"/>
          <w:sz w:val="32"/>
          <w:szCs w:val="32"/>
        </w:rPr>
        <w:t>2023年，我局积极履职，强化管理，较好地完成了年度工作目标。通过加强预算收支管理，不断建立健全内部管理制度梳理内部管理流程，部门整体支出管理水平得到提升。</w:t>
      </w:r>
    </w:p>
    <w:p w14:paraId="1ADFA4D9">
      <w:pPr>
        <w:pStyle w:val="6"/>
        <w:spacing w:before="172" w:line="338" w:lineRule="auto"/>
        <w:ind w:right="3" w:firstLine="649"/>
        <w:jc w:val="both"/>
        <w:rPr>
          <w:rFonts w:hint="eastAsia" w:ascii="仿宋" w:hAnsi="仿宋" w:eastAsia="仿宋" w:cs="仿宋"/>
          <w:sz w:val="32"/>
          <w:szCs w:val="32"/>
        </w:rPr>
      </w:pPr>
      <w:r>
        <w:rPr>
          <w:spacing w:val="12"/>
          <w:sz w:val="32"/>
          <w:szCs w:val="32"/>
        </w:rPr>
        <w:t>行政运转保障。</w:t>
      </w:r>
      <w:r>
        <w:rPr>
          <w:rFonts w:hint="eastAsia" w:ascii="仿宋" w:hAnsi="仿宋" w:eastAsia="仿宋" w:cs="仿宋"/>
          <w:sz w:val="32"/>
          <w:szCs w:val="32"/>
        </w:rPr>
        <w:t>我局2023年根据运转需求，安排日常公用经费，并按要求向财政局申请运转类项目预算，按月及时领导干部各项津补贴，按时缴纳干部五险一金，保障职工福利。</w:t>
      </w:r>
    </w:p>
    <w:p w14:paraId="1F46E761">
      <w:pPr>
        <w:pStyle w:val="6"/>
        <w:spacing w:before="172" w:line="338" w:lineRule="auto"/>
        <w:ind w:right="3" w:firstLine="649"/>
        <w:jc w:val="both"/>
        <w:rPr>
          <w:rFonts w:hint="eastAsia" w:ascii="仿宋" w:hAnsi="仿宋" w:eastAsia="仿宋" w:cs="仿宋"/>
          <w:sz w:val="32"/>
          <w:szCs w:val="32"/>
        </w:rPr>
      </w:pPr>
      <w:r>
        <w:rPr>
          <w:spacing w:val="-1"/>
          <w:sz w:val="32"/>
          <w:szCs w:val="32"/>
        </w:rPr>
        <w:t>机关节能降耗。</w:t>
      </w:r>
      <w:r>
        <w:rPr>
          <w:rFonts w:hint="eastAsia" w:ascii="仿宋" w:hAnsi="仿宋" w:eastAsia="仿宋" w:cs="仿宋"/>
          <w:sz w:val="32"/>
          <w:szCs w:val="32"/>
        </w:rPr>
        <w:t>各办公室加强对办公室电器、纸张的管理，并相互提醒，做到了下班人员离场就关电，纸张的利用率也有所提高。</w:t>
      </w:r>
    </w:p>
    <w:p w14:paraId="04F46F9F">
      <w:pPr>
        <w:pStyle w:val="6"/>
        <w:spacing w:before="172" w:line="338" w:lineRule="auto"/>
        <w:ind w:right="3" w:firstLine="649"/>
        <w:jc w:val="both"/>
        <w:rPr>
          <w:rFonts w:hint="eastAsia" w:ascii="仿宋" w:hAnsi="仿宋" w:eastAsia="仿宋" w:cs="仿宋"/>
          <w:sz w:val="32"/>
          <w:szCs w:val="32"/>
        </w:rPr>
      </w:pPr>
      <w:r>
        <w:rPr>
          <w:rFonts w:hint="eastAsia" w:ascii="仿宋" w:hAnsi="仿宋" w:eastAsia="仿宋" w:cs="仿宋"/>
          <w:spacing w:val="-1"/>
          <w:sz w:val="32"/>
          <w:szCs w:val="32"/>
        </w:rPr>
        <w:t>项目预算支出符合规范。</w:t>
      </w:r>
      <w:r>
        <w:rPr>
          <w:rFonts w:hint="eastAsia" w:ascii="仿宋" w:hAnsi="仿宋" w:eastAsia="仿宋" w:cs="仿宋"/>
          <w:sz w:val="32"/>
          <w:szCs w:val="32"/>
        </w:rPr>
        <w:t>我局严格按照资金用途使用，做到专款专用，确保资金使用安全、公平、合理。</w:t>
      </w:r>
    </w:p>
    <w:p w14:paraId="37BC5505">
      <w:pPr>
        <w:ind w:firstLine="640" w:firstLineChars="200"/>
        <w:outlineLvl w:val="1"/>
        <w:rPr>
          <w:rFonts w:ascii="黑体" w:hAnsi="黑体" w:eastAsia="黑体"/>
          <w:sz w:val="32"/>
          <w:szCs w:val="32"/>
        </w:rPr>
      </w:pPr>
      <w:bookmarkStart w:id="105" w:name="_Toc21453"/>
      <w:bookmarkStart w:id="106" w:name="_Toc23599"/>
      <w:r>
        <w:rPr>
          <w:rFonts w:hint="eastAsia" w:ascii="黑体" w:hAnsi="黑体" w:eastAsia="黑体"/>
          <w:sz w:val="32"/>
          <w:szCs w:val="32"/>
        </w:rPr>
        <w:t>四、评价结论及建议</w:t>
      </w:r>
      <w:bookmarkEnd w:id="105"/>
      <w:bookmarkEnd w:id="106"/>
    </w:p>
    <w:p w14:paraId="4EF2AB91">
      <w:pPr>
        <w:spacing w:before="185" w:line="224" w:lineRule="auto"/>
        <w:ind w:left="770"/>
        <w:rPr>
          <w:rFonts w:ascii="楷体" w:hAnsi="楷体" w:eastAsia="楷体" w:cs="楷体"/>
          <w:sz w:val="32"/>
          <w:szCs w:val="32"/>
        </w:rPr>
      </w:pPr>
      <w:r>
        <w:rPr>
          <w:rFonts w:ascii="楷体" w:hAnsi="楷体" w:eastAsia="楷体" w:cs="楷体"/>
          <w:b/>
          <w:bCs/>
          <w:spacing w:val="17"/>
          <w:sz w:val="32"/>
          <w:szCs w:val="32"/>
        </w:rPr>
        <w:t>(一)评价结论</w:t>
      </w:r>
    </w:p>
    <w:p w14:paraId="164AE605">
      <w:pPr>
        <w:pStyle w:val="6"/>
        <w:spacing w:before="172" w:line="338" w:lineRule="auto"/>
        <w:ind w:right="3" w:firstLine="649"/>
        <w:jc w:val="both"/>
        <w:rPr>
          <w:rFonts w:hint="eastAsia" w:hAnsi="Times New Roman" w:cs="Times New Roman"/>
          <w:sz w:val="32"/>
          <w:szCs w:val="32"/>
        </w:rPr>
      </w:pPr>
      <w:r>
        <w:rPr>
          <w:rFonts w:hint="eastAsia" w:hAnsi="Times New Roman" w:cs="Times New Roman"/>
          <w:sz w:val="32"/>
          <w:szCs w:val="32"/>
        </w:rPr>
        <w:t>综合2023年度本</w:t>
      </w:r>
      <w:r>
        <w:rPr>
          <w:rFonts w:hint="eastAsia" w:hAnsi="Times New Roman" w:cs="Times New Roman"/>
          <w:sz w:val="32"/>
          <w:szCs w:val="32"/>
          <w:lang w:val="en-US" w:eastAsia="zh-CN"/>
        </w:rPr>
        <w:t>部门</w:t>
      </w:r>
      <w:r>
        <w:rPr>
          <w:rFonts w:hint="eastAsia" w:hAnsi="Times New Roman" w:cs="Times New Roman"/>
          <w:sz w:val="32"/>
          <w:szCs w:val="32"/>
        </w:rPr>
        <w:t>财政预算整体支出绩效评价情况认为</w:t>
      </w:r>
      <w:r>
        <w:rPr>
          <w:rFonts w:hint="eastAsia" w:hAnsi="Times New Roman" w:cs="Times New Roman"/>
          <w:sz w:val="32"/>
          <w:szCs w:val="32"/>
          <w:lang w:eastAsia="zh-CN"/>
        </w:rPr>
        <w:t>，</w:t>
      </w:r>
      <w:r>
        <w:rPr>
          <w:rFonts w:hint="eastAsia" w:hAnsi="Times New Roman" w:cs="Times New Roman"/>
          <w:sz w:val="32"/>
          <w:szCs w:val="32"/>
        </w:rPr>
        <w:t>本</w:t>
      </w:r>
      <w:r>
        <w:rPr>
          <w:rFonts w:hint="eastAsia" w:hAnsi="Times New Roman" w:cs="Times New Roman"/>
          <w:sz w:val="32"/>
          <w:szCs w:val="32"/>
          <w:lang w:val="en-US" w:eastAsia="zh-CN"/>
        </w:rPr>
        <w:t>部门</w:t>
      </w:r>
      <w:r>
        <w:rPr>
          <w:rFonts w:hint="eastAsia" w:hAnsi="Times New Roman" w:cs="Times New Roman"/>
          <w:sz w:val="32"/>
          <w:szCs w:val="32"/>
        </w:rPr>
        <w:t>在财政预算资金管理上措施得力。预算执行严格有序，预算管理规范可控，资金效益合乎预期。行政运行成本下降明显，有效保证了机构运转，取得了较好社会效益。</w:t>
      </w:r>
    </w:p>
    <w:p w14:paraId="0BF53606">
      <w:pPr>
        <w:spacing w:before="185" w:line="224" w:lineRule="auto"/>
        <w:ind w:left="770"/>
        <w:rPr>
          <w:rFonts w:ascii="楷体" w:hAnsi="楷体" w:eastAsia="楷体" w:cs="楷体"/>
          <w:sz w:val="32"/>
          <w:szCs w:val="32"/>
        </w:rPr>
      </w:pPr>
      <w:r>
        <w:rPr>
          <w:rFonts w:ascii="楷体" w:hAnsi="楷体" w:eastAsia="楷体" w:cs="楷体"/>
          <w:b/>
          <w:bCs/>
          <w:spacing w:val="18"/>
          <w:sz w:val="32"/>
          <w:szCs w:val="32"/>
        </w:rPr>
        <w:t>(二)存在问题</w:t>
      </w:r>
    </w:p>
    <w:p w14:paraId="441F7D7D">
      <w:pPr>
        <w:pStyle w:val="6"/>
        <w:spacing w:before="172" w:line="338" w:lineRule="auto"/>
        <w:ind w:right="3" w:firstLine="649"/>
        <w:jc w:val="both"/>
        <w:rPr>
          <w:rFonts w:hint="eastAsia" w:hAnsi="Times New Roman" w:cs="Times New Roman"/>
          <w:sz w:val="32"/>
          <w:szCs w:val="32"/>
        </w:rPr>
      </w:pPr>
      <w:r>
        <w:rPr>
          <w:rFonts w:hint="eastAsia" w:hAnsi="Times New Roman" w:cs="Times New Roman"/>
          <w:sz w:val="32"/>
          <w:szCs w:val="32"/>
        </w:rPr>
        <w:t>预算经费不足，到年末的时候可能存在预算使用捉襟见肘的风险。</w:t>
      </w:r>
    </w:p>
    <w:p w14:paraId="628513D8">
      <w:pPr>
        <w:spacing w:before="185" w:line="224" w:lineRule="auto"/>
        <w:ind w:left="770"/>
        <w:rPr>
          <w:rFonts w:ascii="楷体" w:hAnsi="楷体" w:eastAsia="楷体" w:cs="楷体"/>
          <w:sz w:val="32"/>
          <w:szCs w:val="32"/>
        </w:rPr>
      </w:pPr>
      <w:r>
        <w:rPr>
          <w:rFonts w:ascii="楷体" w:hAnsi="楷体" w:eastAsia="楷体" w:cs="楷体"/>
          <w:b/>
          <w:bCs/>
          <w:spacing w:val="16"/>
          <w:sz w:val="32"/>
          <w:szCs w:val="32"/>
        </w:rPr>
        <w:t>(三)改进建议</w:t>
      </w:r>
    </w:p>
    <w:p w14:paraId="5422D4A3">
      <w:pPr>
        <w:pStyle w:val="6"/>
        <w:spacing w:before="172" w:line="338" w:lineRule="auto"/>
        <w:ind w:right="3" w:firstLine="649"/>
        <w:jc w:val="both"/>
        <w:rPr>
          <w:rFonts w:hint="eastAsia" w:hAnsi="Times New Roman" w:cs="Times New Roman"/>
          <w:sz w:val="32"/>
          <w:szCs w:val="32"/>
        </w:rPr>
      </w:pPr>
      <w:r>
        <w:rPr>
          <w:rFonts w:hint="eastAsia" w:hAnsi="Times New Roman" w:cs="Times New Roman"/>
          <w:sz w:val="32"/>
          <w:szCs w:val="32"/>
        </w:rPr>
        <w:t>建议按项目实施进度进行预算用款计划安排。</w:t>
      </w:r>
    </w:p>
    <w:p w14:paraId="2FD105B8">
      <w:pPr>
        <w:spacing w:line="355" w:lineRule="auto"/>
        <w:rPr>
          <w:rFonts w:ascii="Arial"/>
          <w:sz w:val="21"/>
        </w:rPr>
      </w:pPr>
    </w:p>
    <w:p w14:paraId="3653E845">
      <w:r>
        <w:br w:type="page"/>
      </w:r>
    </w:p>
    <w:p w14:paraId="0F4FBDEF">
      <w:pPr>
        <w:outlineLvl w:val="1"/>
        <w:rPr>
          <w:rFonts w:ascii="黑体" w:hAnsi="黑体" w:eastAsia="黑体"/>
          <w:sz w:val="32"/>
          <w:szCs w:val="32"/>
        </w:rPr>
      </w:pPr>
      <w:bookmarkStart w:id="107" w:name="_Toc19979"/>
      <w:bookmarkStart w:id="108" w:name="_Toc16420"/>
      <w:r>
        <w:rPr>
          <w:rFonts w:hint="eastAsia" w:ascii="黑体" w:hAnsi="黑体" w:eastAsia="黑体"/>
          <w:sz w:val="32"/>
          <w:szCs w:val="32"/>
        </w:rPr>
        <w:t>附件2</w:t>
      </w:r>
      <w:bookmarkEnd w:id="107"/>
      <w:bookmarkEnd w:id="108"/>
    </w:p>
    <w:p w14:paraId="07018985">
      <w:pPr>
        <w:spacing w:before="207" w:line="219" w:lineRule="auto"/>
        <w:ind w:left="2777"/>
        <w:jc w:val="both"/>
        <w:rPr>
          <w:rFonts w:ascii="宋体" w:hAnsi="宋体" w:eastAsia="宋体" w:cs="宋体"/>
          <w:b/>
          <w:bCs/>
          <w:spacing w:val="-12"/>
          <w:sz w:val="41"/>
          <w:szCs w:val="41"/>
        </w:rPr>
      </w:pPr>
      <w:r>
        <w:rPr>
          <w:rFonts w:ascii="宋体" w:hAnsi="宋体" w:eastAsia="宋体" w:cs="宋体"/>
          <w:b/>
          <w:bCs/>
          <w:spacing w:val="-12"/>
          <w:sz w:val="41"/>
          <w:szCs w:val="41"/>
        </w:rPr>
        <w:t>射洪市交通运输局</w:t>
      </w:r>
    </w:p>
    <w:p w14:paraId="57FDF0F1">
      <w:pPr>
        <w:spacing w:before="207" w:line="219" w:lineRule="auto"/>
        <w:jc w:val="center"/>
        <w:rPr>
          <w:rFonts w:ascii="宋体" w:hAnsi="宋体" w:eastAsia="宋体" w:cs="宋体"/>
          <w:sz w:val="41"/>
          <w:szCs w:val="41"/>
        </w:rPr>
      </w:pPr>
      <w:r>
        <w:rPr>
          <w:rFonts w:ascii="宋体" w:hAnsi="宋体" w:eastAsia="宋体" w:cs="宋体"/>
          <w:b/>
          <w:bCs/>
          <w:spacing w:val="-6"/>
          <w:sz w:val="41"/>
          <w:szCs w:val="41"/>
        </w:rPr>
        <w:t>2023年度综合执法经费项目支出</w:t>
      </w:r>
      <w:r>
        <w:rPr>
          <w:rFonts w:ascii="宋体" w:hAnsi="宋体" w:eastAsia="宋体" w:cs="宋体"/>
          <w:b/>
          <w:bCs/>
          <w:spacing w:val="-12"/>
          <w:sz w:val="41"/>
          <w:szCs w:val="41"/>
        </w:rPr>
        <w:t>绩效自评报告</w:t>
      </w:r>
    </w:p>
    <w:p w14:paraId="29C1B230">
      <w:pPr>
        <w:spacing w:line="252" w:lineRule="auto"/>
        <w:rPr>
          <w:rFonts w:ascii="Arial"/>
          <w:sz w:val="21"/>
        </w:rPr>
      </w:pPr>
    </w:p>
    <w:p w14:paraId="156C6D38">
      <w:pPr>
        <w:spacing w:line="253" w:lineRule="auto"/>
        <w:rPr>
          <w:rFonts w:ascii="Arial"/>
          <w:sz w:val="21"/>
        </w:rPr>
      </w:pPr>
    </w:p>
    <w:p w14:paraId="30636129">
      <w:pPr>
        <w:spacing w:line="253" w:lineRule="auto"/>
        <w:rPr>
          <w:rFonts w:ascii="Arial"/>
          <w:sz w:val="21"/>
        </w:rPr>
      </w:pPr>
    </w:p>
    <w:p w14:paraId="5384011C">
      <w:pPr>
        <w:spacing w:before="104" w:line="219" w:lineRule="auto"/>
        <w:ind w:left="856"/>
        <w:outlineLvl w:val="1"/>
        <w:rPr>
          <w:rFonts w:ascii="宋体" w:hAnsi="宋体" w:eastAsia="宋体" w:cs="宋体"/>
          <w:sz w:val="32"/>
          <w:szCs w:val="32"/>
        </w:rPr>
      </w:pPr>
      <w:bookmarkStart w:id="109" w:name="_Toc22289"/>
      <w:bookmarkStart w:id="110" w:name="_Toc19623"/>
      <w:r>
        <w:rPr>
          <w:rFonts w:ascii="宋体" w:hAnsi="宋体" w:eastAsia="宋体" w:cs="宋体"/>
          <w:b/>
          <w:bCs/>
          <w:spacing w:val="-19"/>
          <w:sz w:val="32"/>
          <w:szCs w:val="32"/>
        </w:rPr>
        <w:t>一</w:t>
      </w:r>
      <w:r>
        <w:rPr>
          <w:rFonts w:ascii="宋体" w:hAnsi="宋体" w:eastAsia="宋体" w:cs="宋体"/>
          <w:spacing w:val="-93"/>
          <w:sz w:val="32"/>
          <w:szCs w:val="32"/>
        </w:rPr>
        <w:t xml:space="preserve"> </w:t>
      </w:r>
      <w:r>
        <w:rPr>
          <w:rFonts w:ascii="宋体" w:hAnsi="宋体" w:eastAsia="宋体" w:cs="宋体"/>
          <w:b/>
          <w:bCs/>
          <w:spacing w:val="-19"/>
          <w:sz w:val="32"/>
          <w:szCs w:val="32"/>
        </w:rPr>
        <w:t>、项目概况</w:t>
      </w:r>
      <w:bookmarkEnd w:id="109"/>
      <w:bookmarkEnd w:id="110"/>
    </w:p>
    <w:p w14:paraId="3630CA88">
      <w:pPr>
        <w:spacing w:before="197" w:line="225" w:lineRule="auto"/>
        <w:ind w:left="1006"/>
        <w:outlineLvl w:val="6"/>
        <w:rPr>
          <w:rFonts w:ascii="楷体" w:hAnsi="楷体" w:eastAsia="楷体" w:cs="楷体"/>
          <w:sz w:val="32"/>
          <w:szCs w:val="32"/>
        </w:rPr>
      </w:pPr>
      <w:r>
        <w:rPr>
          <w:rFonts w:ascii="楷体" w:hAnsi="楷体" w:eastAsia="楷体" w:cs="楷体"/>
          <w:b/>
          <w:bCs/>
          <w:spacing w:val="13"/>
          <w:sz w:val="32"/>
          <w:szCs w:val="32"/>
        </w:rPr>
        <w:t>(一)项目基本情况</w:t>
      </w:r>
    </w:p>
    <w:p w14:paraId="403EA957">
      <w:pPr>
        <w:pStyle w:val="6"/>
        <w:spacing w:before="181" w:line="219" w:lineRule="auto"/>
        <w:ind w:left="732"/>
        <w:rPr>
          <w:sz w:val="32"/>
          <w:szCs w:val="32"/>
        </w:rPr>
      </w:pPr>
      <w:r>
        <w:rPr>
          <w:spacing w:val="-1"/>
          <w:sz w:val="32"/>
          <w:szCs w:val="32"/>
        </w:rPr>
        <w:t>1.项目主管部门在该项目管理中的职能。</w:t>
      </w:r>
    </w:p>
    <w:p w14:paraId="4A986F7D">
      <w:pPr>
        <w:pStyle w:val="6"/>
        <w:spacing w:before="180" w:line="310" w:lineRule="auto"/>
        <w:ind w:left="102" w:firstLine="629"/>
        <w:rPr>
          <w:sz w:val="32"/>
          <w:szCs w:val="32"/>
        </w:rPr>
      </w:pPr>
      <w:r>
        <w:rPr>
          <w:spacing w:val="-6"/>
          <w:sz w:val="32"/>
          <w:szCs w:val="32"/>
        </w:rPr>
        <w:t>我单位作为交通</w:t>
      </w:r>
      <w:r>
        <w:rPr>
          <w:rFonts w:hint="eastAsia"/>
          <w:spacing w:val="-6"/>
          <w:sz w:val="32"/>
          <w:szCs w:val="32"/>
          <w:lang w:eastAsia="zh-CN"/>
        </w:rPr>
        <w:t>运输</w:t>
      </w:r>
      <w:r>
        <w:rPr>
          <w:spacing w:val="-6"/>
          <w:sz w:val="32"/>
          <w:szCs w:val="32"/>
        </w:rPr>
        <w:t>综合</w:t>
      </w:r>
      <w:r>
        <w:rPr>
          <w:rFonts w:hint="eastAsia"/>
          <w:spacing w:val="-6"/>
          <w:sz w:val="32"/>
          <w:szCs w:val="32"/>
          <w:lang w:eastAsia="zh-CN"/>
        </w:rPr>
        <w:t>行政</w:t>
      </w:r>
      <w:r>
        <w:rPr>
          <w:spacing w:val="-6"/>
          <w:sz w:val="32"/>
          <w:szCs w:val="32"/>
        </w:rPr>
        <w:t>执法部门，负责全市公路路政、</w:t>
      </w:r>
      <w:r>
        <w:rPr>
          <w:spacing w:val="18"/>
          <w:sz w:val="32"/>
          <w:szCs w:val="32"/>
        </w:rPr>
        <w:t xml:space="preserve"> </w:t>
      </w:r>
      <w:r>
        <w:rPr>
          <w:spacing w:val="-1"/>
          <w:sz w:val="32"/>
          <w:szCs w:val="32"/>
        </w:rPr>
        <w:t>道路运输、水上通航等管理工作，履行全市路政、道路、水</w:t>
      </w:r>
      <w:r>
        <w:rPr>
          <w:spacing w:val="1"/>
          <w:sz w:val="32"/>
          <w:szCs w:val="32"/>
        </w:rPr>
        <w:t xml:space="preserve">  </w:t>
      </w:r>
      <w:r>
        <w:rPr>
          <w:spacing w:val="11"/>
          <w:sz w:val="32"/>
          <w:szCs w:val="32"/>
        </w:rPr>
        <w:t>路行政执法职能，贯彻交通工程建设质量等法律法规和制</w:t>
      </w:r>
      <w:r>
        <w:rPr>
          <w:spacing w:val="1"/>
          <w:sz w:val="32"/>
          <w:szCs w:val="32"/>
        </w:rPr>
        <w:t xml:space="preserve">  </w:t>
      </w:r>
      <w:r>
        <w:rPr>
          <w:spacing w:val="-1"/>
          <w:sz w:val="32"/>
          <w:szCs w:val="32"/>
        </w:rPr>
        <w:t>度，承担交通工程过程监管和竣工验收等行政</w:t>
      </w:r>
      <w:r>
        <w:rPr>
          <w:spacing w:val="-2"/>
          <w:sz w:val="32"/>
          <w:szCs w:val="32"/>
        </w:rPr>
        <w:t>执法职能。</w:t>
      </w:r>
    </w:p>
    <w:p w14:paraId="00566927">
      <w:pPr>
        <w:pStyle w:val="6"/>
        <w:spacing w:before="106" w:line="222" w:lineRule="auto"/>
        <w:ind w:left="732"/>
        <w:rPr>
          <w:sz w:val="32"/>
          <w:szCs w:val="32"/>
        </w:rPr>
      </w:pPr>
      <w:r>
        <w:rPr>
          <w:spacing w:val="-4"/>
          <w:sz w:val="32"/>
          <w:szCs w:val="32"/>
        </w:rPr>
        <w:t>2.项目立项、资金申报的依据。</w:t>
      </w:r>
    </w:p>
    <w:p w14:paraId="02F82B7E">
      <w:pPr>
        <w:pStyle w:val="6"/>
        <w:spacing w:before="170" w:line="294" w:lineRule="auto"/>
        <w:ind w:left="102" w:right="140" w:firstLine="709"/>
        <w:rPr>
          <w:sz w:val="32"/>
          <w:szCs w:val="32"/>
        </w:rPr>
      </w:pPr>
      <w:r>
        <w:rPr>
          <w:spacing w:val="5"/>
          <w:sz w:val="32"/>
          <w:szCs w:val="32"/>
        </w:rPr>
        <w:t>常年性项目，根据历年的工作需要，保障执法大队(含</w:t>
      </w:r>
      <w:r>
        <w:rPr>
          <w:spacing w:val="8"/>
          <w:sz w:val="32"/>
          <w:szCs w:val="32"/>
        </w:rPr>
        <w:t xml:space="preserve"> </w:t>
      </w:r>
      <w:r>
        <w:rPr>
          <w:spacing w:val="10"/>
          <w:sz w:val="32"/>
          <w:szCs w:val="32"/>
        </w:rPr>
        <w:t>超限站)行政、执法工作的正常运转</w:t>
      </w:r>
    </w:p>
    <w:p w14:paraId="3EE80CA5">
      <w:pPr>
        <w:pStyle w:val="6"/>
        <w:spacing w:before="95" w:line="309" w:lineRule="auto"/>
        <w:ind w:left="102" w:right="239" w:firstLine="629"/>
        <w:rPr>
          <w:sz w:val="32"/>
          <w:szCs w:val="32"/>
        </w:rPr>
      </w:pPr>
      <w:r>
        <w:rPr>
          <w:rFonts w:ascii="宋体" w:hAnsi="宋体" w:eastAsia="宋体" w:cs="宋体"/>
          <w:spacing w:val="-2"/>
          <w:sz w:val="32"/>
          <w:szCs w:val="32"/>
        </w:rPr>
        <w:t>3.</w:t>
      </w:r>
      <w:r>
        <w:rPr>
          <w:spacing w:val="-2"/>
          <w:sz w:val="32"/>
          <w:szCs w:val="32"/>
        </w:rPr>
        <w:t>资金管理办法制定情况，资金支持具体项目的条件、</w:t>
      </w:r>
      <w:r>
        <w:rPr>
          <w:sz w:val="32"/>
          <w:szCs w:val="32"/>
        </w:rPr>
        <w:t xml:space="preserve"> </w:t>
      </w:r>
      <w:r>
        <w:rPr>
          <w:spacing w:val="-6"/>
          <w:sz w:val="32"/>
          <w:szCs w:val="32"/>
        </w:rPr>
        <w:t>范围与支持方式概况。</w:t>
      </w:r>
    </w:p>
    <w:p w14:paraId="35CAB304">
      <w:pPr>
        <w:pStyle w:val="6"/>
        <w:spacing w:before="54" w:line="308" w:lineRule="auto"/>
        <w:ind w:left="102" w:right="187" w:firstLine="629"/>
        <w:rPr>
          <w:sz w:val="32"/>
          <w:szCs w:val="32"/>
        </w:rPr>
      </w:pPr>
      <w:r>
        <w:rPr>
          <w:sz w:val="32"/>
          <w:szCs w:val="32"/>
        </w:rPr>
        <w:t>该项目资金是我局综合执法工作正常运转的保障，能有</w:t>
      </w:r>
      <w:r>
        <w:rPr>
          <w:spacing w:val="1"/>
          <w:sz w:val="32"/>
          <w:szCs w:val="32"/>
        </w:rPr>
        <w:t xml:space="preserve"> </w:t>
      </w:r>
      <w:r>
        <w:rPr>
          <w:spacing w:val="-1"/>
          <w:sz w:val="32"/>
          <w:szCs w:val="32"/>
        </w:rPr>
        <w:t>效保障我局执法大队维护道路交通秩序与稳定，进一步</w:t>
      </w:r>
      <w:r>
        <w:rPr>
          <w:spacing w:val="-2"/>
          <w:sz w:val="32"/>
          <w:szCs w:val="32"/>
        </w:rPr>
        <w:t>保障</w:t>
      </w:r>
      <w:r>
        <w:rPr>
          <w:sz w:val="32"/>
          <w:szCs w:val="32"/>
        </w:rPr>
        <w:t xml:space="preserve"> </w:t>
      </w:r>
      <w:r>
        <w:rPr>
          <w:spacing w:val="-7"/>
          <w:sz w:val="32"/>
          <w:szCs w:val="32"/>
        </w:rPr>
        <w:t>人民群众的出行安全。</w:t>
      </w:r>
    </w:p>
    <w:p w14:paraId="3BFCA6B7">
      <w:pPr>
        <w:pStyle w:val="6"/>
        <w:spacing w:before="84" w:line="222" w:lineRule="auto"/>
        <w:ind w:left="732"/>
        <w:rPr>
          <w:sz w:val="32"/>
          <w:szCs w:val="32"/>
        </w:rPr>
      </w:pPr>
      <w:r>
        <w:rPr>
          <w:spacing w:val="-4"/>
          <w:sz w:val="32"/>
          <w:szCs w:val="32"/>
        </w:rPr>
        <w:t>4.资金分配的原则及考虑因素。</w:t>
      </w:r>
    </w:p>
    <w:p w14:paraId="451500CC">
      <w:pPr>
        <w:pStyle w:val="6"/>
        <w:spacing w:before="179" w:line="306" w:lineRule="auto"/>
        <w:ind w:left="102" w:right="213" w:firstLine="629"/>
        <w:rPr>
          <w:sz w:val="32"/>
          <w:szCs w:val="32"/>
        </w:rPr>
      </w:pPr>
      <w:r>
        <w:rPr>
          <w:spacing w:val="-1"/>
          <w:sz w:val="32"/>
          <w:szCs w:val="32"/>
        </w:rPr>
        <w:t>严格按年初预算控制资金使用额度，在保障工作正常运</w:t>
      </w:r>
      <w:r>
        <w:rPr>
          <w:sz w:val="32"/>
          <w:szCs w:val="32"/>
        </w:rPr>
        <w:t xml:space="preserve"> </w:t>
      </w:r>
      <w:r>
        <w:rPr>
          <w:spacing w:val="-5"/>
          <w:sz w:val="32"/>
          <w:szCs w:val="32"/>
        </w:rPr>
        <w:t>转的同时简单开支，过紧日子。</w:t>
      </w:r>
    </w:p>
    <w:p w14:paraId="11CB2D15">
      <w:pPr>
        <w:spacing w:before="41" w:line="227" w:lineRule="auto"/>
        <w:ind w:left="896"/>
        <w:outlineLvl w:val="6"/>
        <w:rPr>
          <w:rFonts w:ascii="楷体" w:hAnsi="楷体" w:eastAsia="楷体" w:cs="楷体"/>
          <w:sz w:val="32"/>
          <w:szCs w:val="32"/>
        </w:rPr>
      </w:pPr>
      <w:r>
        <w:rPr>
          <w:rFonts w:ascii="楷体" w:hAnsi="楷体" w:eastAsia="楷体" w:cs="楷体"/>
          <w:b/>
          <w:bCs/>
          <w:spacing w:val="12"/>
          <w:sz w:val="32"/>
          <w:szCs w:val="32"/>
        </w:rPr>
        <w:t>(二)项目绩效目标</w:t>
      </w:r>
    </w:p>
    <w:p w14:paraId="117B998E">
      <w:pPr>
        <w:pStyle w:val="6"/>
        <w:spacing w:before="171" w:line="222" w:lineRule="auto"/>
        <w:ind w:left="732"/>
        <w:rPr>
          <w:sz w:val="32"/>
          <w:szCs w:val="32"/>
        </w:rPr>
      </w:pPr>
      <w:r>
        <w:rPr>
          <w:spacing w:val="-2"/>
          <w:sz w:val="32"/>
          <w:szCs w:val="32"/>
        </w:rPr>
        <w:t>1.项目主要内容。</w:t>
      </w:r>
    </w:p>
    <w:p w14:paraId="6C7D7045">
      <w:pPr>
        <w:spacing w:line="222" w:lineRule="auto"/>
        <w:rPr>
          <w:sz w:val="32"/>
          <w:szCs w:val="32"/>
        </w:rPr>
        <w:sectPr>
          <w:footerReference r:id="rId8" w:type="default"/>
          <w:pgSz w:w="12120" w:h="16980"/>
          <w:pgMar w:top="1443" w:right="1700" w:bottom="1326" w:left="1818" w:header="1020" w:footer="907" w:gutter="0"/>
          <w:pgNumType w:fmt="decimal" w:start="1"/>
          <w:cols w:space="720" w:num="1"/>
        </w:sectPr>
      </w:pPr>
    </w:p>
    <w:p w14:paraId="35B46121">
      <w:pPr>
        <w:pStyle w:val="6"/>
        <w:spacing w:before="276" w:line="287" w:lineRule="auto"/>
        <w:ind w:left="356" w:right="174" w:firstLine="329"/>
        <w:rPr>
          <w:sz w:val="32"/>
          <w:szCs w:val="32"/>
        </w:rPr>
      </w:pPr>
      <w:r>
        <w:rPr>
          <w:spacing w:val="15"/>
          <w:sz w:val="32"/>
          <w:szCs w:val="32"/>
        </w:rPr>
        <w:t>2023年投入30.00万元综合执法经费，保障</w:t>
      </w:r>
      <w:r>
        <w:rPr>
          <w:spacing w:val="14"/>
          <w:sz w:val="32"/>
          <w:szCs w:val="32"/>
        </w:rPr>
        <w:t>执法大队</w:t>
      </w:r>
      <w:r>
        <w:rPr>
          <w:sz w:val="32"/>
          <w:szCs w:val="32"/>
        </w:rPr>
        <w:t xml:space="preserve"> </w:t>
      </w:r>
      <w:r>
        <w:rPr>
          <w:spacing w:val="6"/>
          <w:sz w:val="32"/>
          <w:szCs w:val="32"/>
        </w:rPr>
        <w:t>(含超限站)行政、执法工作的正常运转。</w:t>
      </w:r>
    </w:p>
    <w:p w14:paraId="4B43BC88">
      <w:pPr>
        <w:pStyle w:val="6"/>
        <w:spacing w:before="118" w:line="308" w:lineRule="auto"/>
        <w:ind w:left="66" w:right="111" w:firstLine="619"/>
        <w:rPr>
          <w:sz w:val="32"/>
          <w:szCs w:val="32"/>
        </w:rPr>
      </w:pPr>
      <w:r>
        <w:rPr>
          <w:spacing w:val="-1"/>
          <w:sz w:val="32"/>
          <w:szCs w:val="32"/>
        </w:rPr>
        <w:t>2.项目应实现的具体绩效目标，包括目标的量化、细化</w:t>
      </w:r>
      <w:r>
        <w:rPr>
          <w:spacing w:val="8"/>
          <w:sz w:val="32"/>
          <w:szCs w:val="32"/>
        </w:rPr>
        <w:t xml:space="preserve"> </w:t>
      </w:r>
      <w:r>
        <w:rPr>
          <w:spacing w:val="-5"/>
          <w:sz w:val="32"/>
          <w:szCs w:val="32"/>
        </w:rPr>
        <w:t>情况以及项目实施进度计划等。</w:t>
      </w:r>
    </w:p>
    <w:p w14:paraId="4EF89160">
      <w:pPr>
        <w:pStyle w:val="6"/>
        <w:spacing w:before="46" w:line="307" w:lineRule="auto"/>
        <w:ind w:left="66" w:right="126" w:firstLine="619"/>
        <w:rPr>
          <w:sz w:val="32"/>
          <w:szCs w:val="32"/>
        </w:rPr>
      </w:pPr>
      <w:r>
        <w:rPr>
          <w:spacing w:val="5"/>
          <w:sz w:val="32"/>
          <w:szCs w:val="32"/>
        </w:rPr>
        <w:t>严格按年初预算控制综合执法经费，保障执法大队(含</w:t>
      </w:r>
      <w:r>
        <w:rPr>
          <w:spacing w:val="8"/>
          <w:sz w:val="32"/>
          <w:szCs w:val="32"/>
        </w:rPr>
        <w:t xml:space="preserve"> 超限站)全年工作的正常。</w:t>
      </w:r>
    </w:p>
    <w:p w14:paraId="29B08A71">
      <w:pPr>
        <w:pStyle w:val="6"/>
        <w:spacing w:before="47" w:line="296" w:lineRule="auto"/>
        <w:ind w:left="66" w:right="114" w:firstLine="619"/>
        <w:rPr>
          <w:sz w:val="32"/>
          <w:szCs w:val="32"/>
        </w:rPr>
      </w:pPr>
      <w:r>
        <w:rPr>
          <w:spacing w:val="-1"/>
          <w:sz w:val="32"/>
          <w:szCs w:val="32"/>
        </w:rPr>
        <w:t>3.分析评价申报内容是否与实际相符，申报目标是否合</w:t>
      </w:r>
      <w:r>
        <w:rPr>
          <w:spacing w:val="6"/>
          <w:sz w:val="32"/>
          <w:szCs w:val="32"/>
        </w:rPr>
        <w:t xml:space="preserve"> </w:t>
      </w:r>
      <w:r>
        <w:rPr>
          <w:spacing w:val="-8"/>
          <w:sz w:val="32"/>
          <w:szCs w:val="32"/>
        </w:rPr>
        <w:t>理可行。</w:t>
      </w:r>
    </w:p>
    <w:p w14:paraId="05494729">
      <w:pPr>
        <w:pStyle w:val="6"/>
        <w:spacing w:before="84" w:line="308" w:lineRule="auto"/>
        <w:ind w:left="66" w:right="121" w:firstLine="619"/>
        <w:rPr>
          <w:sz w:val="32"/>
          <w:szCs w:val="32"/>
        </w:rPr>
      </w:pPr>
      <w:r>
        <w:rPr>
          <w:spacing w:val="-1"/>
          <w:sz w:val="32"/>
          <w:szCs w:val="32"/>
        </w:rPr>
        <w:t>分析评价申报内容与实际工作需要相符，申报目标</w:t>
      </w:r>
      <w:r>
        <w:rPr>
          <w:spacing w:val="-2"/>
          <w:sz w:val="32"/>
          <w:szCs w:val="32"/>
        </w:rPr>
        <w:t>合理</w:t>
      </w:r>
      <w:r>
        <w:rPr>
          <w:sz w:val="32"/>
          <w:szCs w:val="32"/>
        </w:rPr>
        <w:t xml:space="preserve"> </w:t>
      </w:r>
      <w:r>
        <w:rPr>
          <w:spacing w:val="-16"/>
          <w:sz w:val="32"/>
          <w:szCs w:val="32"/>
        </w:rPr>
        <w:t>可行。</w:t>
      </w:r>
    </w:p>
    <w:p w14:paraId="65A2752B">
      <w:pPr>
        <w:spacing w:before="55" w:line="223" w:lineRule="auto"/>
        <w:ind w:left="951"/>
        <w:outlineLvl w:val="6"/>
        <w:rPr>
          <w:rFonts w:ascii="楷体" w:hAnsi="楷体" w:eastAsia="楷体" w:cs="楷体"/>
          <w:sz w:val="32"/>
          <w:szCs w:val="32"/>
        </w:rPr>
      </w:pPr>
      <w:r>
        <w:rPr>
          <w:rFonts w:ascii="楷体" w:hAnsi="楷体" w:eastAsia="楷体" w:cs="楷体"/>
          <w:b/>
          <w:bCs/>
          <w:spacing w:val="8"/>
          <w:sz w:val="32"/>
          <w:szCs w:val="32"/>
        </w:rPr>
        <w:t>(三)项目自评步骤及方法</w:t>
      </w:r>
    </w:p>
    <w:p w14:paraId="0937D3E2">
      <w:pPr>
        <w:pStyle w:val="6"/>
        <w:spacing w:before="181" w:line="277" w:lineRule="auto"/>
        <w:ind w:left="66" w:right="346" w:firstLine="619"/>
        <w:rPr>
          <w:sz w:val="32"/>
          <w:szCs w:val="32"/>
        </w:rPr>
      </w:pPr>
      <w:r>
        <w:rPr>
          <w:rFonts w:ascii="宋体" w:hAnsi="宋体" w:eastAsia="宋体" w:cs="宋体"/>
          <w:spacing w:val="-4"/>
          <w:sz w:val="32"/>
          <w:szCs w:val="32"/>
        </w:rPr>
        <w:t>1、</w:t>
      </w:r>
      <w:r>
        <w:rPr>
          <w:spacing w:val="-4"/>
          <w:sz w:val="32"/>
          <w:szCs w:val="32"/>
        </w:rPr>
        <w:t>建立评价工作组，以执法大队主要负责人为组长，</w:t>
      </w:r>
      <w:r>
        <w:rPr>
          <w:spacing w:val="4"/>
          <w:sz w:val="32"/>
          <w:szCs w:val="32"/>
        </w:rPr>
        <w:t xml:space="preserve"> </w:t>
      </w:r>
      <w:r>
        <w:rPr>
          <w:spacing w:val="-4"/>
          <w:sz w:val="32"/>
          <w:szCs w:val="32"/>
        </w:rPr>
        <w:t>综合室、各中队负责人组成评价工作组。</w:t>
      </w:r>
    </w:p>
    <w:p w14:paraId="04DCB62D">
      <w:pPr>
        <w:spacing w:line="251" w:lineRule="auto"/>
        <w:rPr>
          <w:rFonts w:ascii="Arial"/>
          <w:sz w:val="21"/>
        </w:rPr>
      </w:pPr>
    </w:p>
    <w:p w14:paraId="5D1977B9">
      <w:pPr>
        <w:pStyle w:val="6"/>
        <w:spacing w:before="104" w:line="275" w:lineRule="auto"/>
        <w:ind w:left="66" w:right="326" w:firstLine="619"/>
        <w:rPr>
          <w:sz w:val="32"/>
          <w:szCs w:val="32"/>
        </w:rPr>
      </w:pPr>
      <w:r>
        <w:rPr>
          <w:rFonts w:ascii="宋体" w:hAnsi="宋体" w:eastAsia="宋体" w:cs="宋体"/>
          <w:spacing w:val="-3"/>
          <w:sz w:val="32"/>
          <w:szCs w:val="32"/>
        </w:rPr>
        <w:t>2、</w:t>
      </w:r>
      <w:r>
        <w:rPr>
          <w:spacing w:val="-3"/>
          <w:sz w:val="32"/>
          <w:szCs w:val="32"/>
        </w:rPr>
        <w:t>制定评价工作方案，由工作组制定评价工作方案，</w:t>
      </w:r>
      <w:r>
        <w:rPr>
          <w:spacing w:val="1"/>
          <w:sz w:val="32"/>
          <w:szCs w:val="32"/>
        </w:rPr>
        <w:t xml:space="preserve"> </w:t>
      </w:r>
      <w:r>
        <w:rPr>
          <w:spacing w:val="-4"/>
          <w:sz w:val="32"/>
          <w:szCs w:val="32"/>
        </w:rPr>
        <w:t>工作组组长审批签发，作为评价依据。</w:t>
      </w:r>
    </w:p>
    <w:p w14:paraId="6D21973F">
      <w:pPr>
        <w:spacing w:line="262" w:lineRule="auto"/>
        <w:rPr>
          <w:rFonts w:ascii="Arial"/>
          <w:sz w:val="21"/>
        </w:rPr>
      </w:pPr>
    </w:p>
    <w:p w14:paraId="362A39C7">
      <w:pPr>
        <w:pStyle w:val="6"/>
        <w:spacing w:before="105" w:line="281" w:lineRule="auto"/>
        <w:ind w:left="66" w:right="266" w:firstLine="619"/>
        <w:rPr>
          <w:sz w:val="32"/>
          <w:szCs w:val="32"/>
        </w:rPr>
      </w:pPr>
      <w:r>
        <w:rPr>
          <w:rFonts w:ascii="宋体" w:hAnsi="宋体" w:eastAsia="宋体" w:cs="宋体"/>
          <w:spacing w:val="-1"/>
          <w:sz w:val="32"/>
          <w:szCs w:val="32"/>
        </w:rPr>
        <w:t>3、</w:t>
      </w:r>
      <w:r>
        <w:rPr>
          <w:spacing w:val="-1"/>
          <w:sz w:val="32"/>
          <w:szCs w:val="32"/>
        </w:rPr>
        <w:t>下达评价通知，评价通知书一般由自评单位下达给</w:t>
      </w:r>
      <w:r>
        <w:rPr>
          <w:spacing w:val="12"/>
          <w:sz w:val="32"/>
          <w:szCs w:val="32"/>
        </w:rPr>
        <w:t xml:space="preserve"> </w:t>
      </w:r>
      <w:r>
        <w:rPr>
          <w:spacing w:val="-4"/>
          <w:sz w:val="32"/>
          <w:szCs w:val="32"/>
        </w:rPr>
        <w:t>承担项目使用的本单位内部机构。</w:t>
      </w:r>
    </w:p>
    <w:p w14:paraId="1126F5F9">
      <w:pPr>
        <w:spacing w:line="263" w:lineRule="auto"/>
        <w:rPr>
          <w:rFonts w:ascii="Arial"/>
          <w:sz w:val="21"/>
        </w:rPr>
      </w:pPr>
    </w:p>
    <w:p w14:paraId="75619736">
      <w:pPr>
        <w:pStyle w:val="6"/>
        <w:spacing w:before="104" w:line="270" w:lineRule="auto"/>
        <w:ind w:left="66" w:right="75" w:firstLine="530"/>
        <w:rPr>
          <w:sz w:val="32"/>
          <w:szCs w:val="32"/>
        </w:rPr>
      </w:pPr>
      <w:r>
        <w:rPr>
          <w:rFonts w:ascii="宋体" w:hAnsi="宋体" w:eastAsia="宋体" w:cs="宋体"/>
          <w:spacing w:val="-2"/>
          <w:sz w:val="32"/>
          <w:szCs w:val="32"/>
        </w:rPr>
        <w:t>4、</w:t>
      </w:r>
      <w:r>
        <w:rPr>
          <w:spacing w:val="-2"/>
          <w:sz w:val="32"/>
          <w:szCs w:val="32"/>
        </w:rPr>
        <w:t>评价方法分为现场评价、专项资金绩效自评、访谈评</w:t>
      </w:r>
      <w:r>
        <w:rPr>
          <w:sz w:val="32"/>
          <w:szCs w:val="32"/>
        </w:rPr>
        <w:t xml:space="preserve"> </w:t>
      </w:r>
      <w:r>
        <w:rPr>
          <w:spacing w:val="-15"/>
          <w:sz w:val="32"/>
          <w:szCs w:val="32"/>
        </w:rPr>
        <w:t>价等。</w:t>
      </w:r>
    </w:p>
    <w:p w14:paraId="47C536D2">
      <w:pPr>
        <w:spacing w:before="193" w:line="219" w:lineRule="auto"/>
        <w:ind w:left="691"/>
        <w:outlineLvl w:val="1"/>
        <w:rPr>
          <w:rFonts w:ascii="宋体" w:hAnsi="宋体" w:eastAsia="宋体" w:cs="宋体"/>
          <w:sz w:val="32"/>
          <w:szCs w:val="32"/>
        </w:rPr>
      </w:pPr>
      <w:bookmarkStart w:id="111" w:name="_Toc14248"/>
      <w:bookmarkStart w:id="112" w:name="_Toc17651"/>
      <w:r>
        <w:rPr>
          <w:rFonts w:ascii="宋体" w:hAnsi="宋体" w:eastAsia="宋体" w:cs="宋体"/>
          <w:b/>
          <w:bCs/>
          <w:spacing w:val="-9"/>
          <w:sz w:val="32"/>
          <w:szCs w:val="32"/>
        </w:rPr>
        <w:t>二</w:t>
      </w:r>
      <w:r>
        <w:rPr>
          <w:rFonts w:ascii="宋体" w:hAnsi="宋体" w:eastAsia="宋体" w:cs="宋体"/>
          <w:spacing w:val="-84"/>
          <w:sz w:val="32"/>
          <w:szCs w:val="32"/>
        </w:rPr>
        <w:t xml:space="preserve"> </w:t>
      </w:r>
      <w:r>
        <w:rPr>
          <w:rFonts w:ascii="宋体" w:hAnsi="宋体" w:eastAsia="宋体" w:cs="宋体"/>
          <w:b/>
          <w:bCs/>
          <w:spacing w:val="-9"/>
          <w:sz w:val="32"/>
          <w:szCs w:val="32"/>
        </w:rPr>
        <w:t>、项目资金申报及使用情况</w:t>
      </w:r>
      <w:bookmarkEnd w:id="111"/>
      <w:bookmarkEnd w:id="112"/>
    </w:p>
    <w:p w14:paraId="2402261B">
      <w:pPr>
        <w:spacing w:before="157" w:line="226" w:lineRule="auto"/>
        <w:ind w:left="891"/>
        <w:outlineLvl w:val="6"/>
        <w:rPr>
          <w:rFonts w:ascii="楷体" w:hAnsi="楷体" w:eastAsia="楷体" w:cs="楷体"/>
          <w:sz w:val="32"/>
          <w:szCs w:val="32"/>
        </w:rPr>
      </w:pPr>
      <w:r>
        <w:rPr>
          <w:rFonts w:ascii="楷体" w:hAnsi="楷体" w:eastAsia="楷体" w:cs="楷体"/>
          <w:b/>
          <w:bCs/>
          <w:spacing w:val="7"/>
          <w:sz w:val="32"/>
          <w:szCs w:val="32"/>
        </w:rPr>
        <w:t>(一)项目资金申报及批复情况</w:t>
      </w:r>
    </w:p>
    <w:p w14:paraId="2CF1C9E9">
      <w:pPr>
        <w:pStyle w:val="6"/>
        <w:spacing w:before="184" w:line="315" w:lineRule="auto"/>
        <w:ind w:left="66" w:right="126" w:firstLine="619"/>
        <w:rPr>
          <w:sz w:val="32"/>
          <w:szCs w:val="32"/>
        </w:rPr>
      </w:pPr>
      <w:r>
        <w:rPr>
          <w:spacing w:val="4"/>
          <w:sz w:val="32"/>
          <w:szCs w:val="32"/>
        </w:rPr>
        <w:t>2023年度综合执法项目经费申报金额30.00万元，审批</w:t>
      </w:r>
      <w:r>
        <w:rPr>
          <w:spacing w:val="16"/>
          <w:sz w:val="32"/>
          <w:szCs w:val="32"/>
        </w:rPr>
        <w:t xml:space="preserve"> </w:t>
      </w:r>
      <w:r>
        <w:rPr>
          <w:spacing w:val="9"/>
          <w:sz w:val="32"/>
          <w:szCs w:val="32"/>
        </w:rPr>
        <w:t>金额30.00万元。</w:t>
      </w:r>
    </w:p>
    <w:p w14:paraId="58511D9F">
      <w:pPr>
        <w:spacing w:line="315" w:lineRule="auto"/>
        <w:rPr>
          <w:sz w:val="32"/>
          <w:szCs w:val="32"/>
        </w:rPr>
        <w:sectPr>
          <w:footerReference r:id="rId9" w:type="default"/>
          <w:pgSz w:w="12090" w:h="16960"/>
          <w:pgMar w:top="1441" w:right="1813" w:bottom="1335" w:left="1813" w:header="0" w:footer="1209" w:gutter="0"/>
          <w:pgNumType w:fmt="decimal"/>
          <w:cols w:space="720" w:num="1"/>
        </w:sectPr>
      </w:pPr>
    </w:p>
    <w:p w14:paraId="33E6DA0E">
      <w:pPr>
        <w:spacing w:before="157" w:line="226" w:lineRule="auto"/>
        <w:ind w:left="891"/>
        <w:outlineLvl w:val="6"/>
        <w:rPr>
          <w:rFonts w:ascii="楷体" w:hAnsi="楷体" w:eastAsia="楷体" w:cs="楷体"/>
          <w:sz w:val="33"/>
          <w:szCs w:val="33"/>
        </w:rPr>
      </w:pPr>
      <w:r>
        <w:rPr>
          <w:rFonts w:ascii="楷体" w:hAnsi="楷体" w:eastAsia="楷体" w:cs="楷体"/>
          <w:b/>
          <w:bCs/>
          <w:spacing w:val="-6"/>
          <w:sz w:val="33"/>
          <w:szCs w:val="33"/>
        </w:rPr>
        <w:t>(二)资金计划、到位及使用情况</w:t>
      </w:r>
    </w:p>
    <w:p w14:paraId="5FFF92BD">
      <w:pPr>
        <w:pStyle w:val="6"/>
        <w:spacing w:before="155" w:line="297" w:lineRule="auto"/>
        <w:ind w:left="73" w:firstLine="654"/>
        <w:rPr>
          <w:sz w:val="33"/>
          <w:szCs w:val="33"/>
        </w:rPr>
      </w:pPr>
      <w:r>
        <w:rPr>
          <w:rFonts w:hint="eastAsia" w:ascii="宋体" w:hAnsi="宋体" w:eastAsia="宋体" w:cs="宋体"/>
          <w:b/>
          <w:bCs/>
          <w:spacing w:val="-4"/>
          <w:sz w:val="33"/>
          <w:szCs w:val="33"/>
          <w:lang w:val="en-US" w:eastAsia="zh-CN"/>
        </w:rPr>
        <w:t>1.</w:t>
      </w:r>
      <w:r>
        <w:rPr>
          <w:b/>
          <w:bCs/>
          <w:spacing w:val="-4"/>
          <w:sz w:val="33"/>
          <w:szCs w:val="33"/>
        </w:rPr>
        <w:t>资金计划。</w:t>
      </w:r>
      <w:r>
        <w:rPr>
          <w:spacing w:val="-4"/>
          <w:sz w:val="33"/>
          <w:szCs w:val="33"/>
        </w:rPr>
        <w:t>2023年度项目资金30.00万元，其中本</w:t>
      </w:r>
      <w:r>
        <w:rPr>
          <w:spacing w:val="1"/>
          <w:sz w:val="33"/>
          <w:szCs w:val="33"/>
        </w:rPr>
        <w:t xml:space="preserve"> </w:t>
      </w:r>
      <w:r>
        <w:rPr>
          <w:spacing w:val="2"/>
          <w:sz w:val="33"/>
          <w:szCs w:val="33"/>
        </w:rPr>
        <w:t>级财政资金30.00万元。</w:t>
      </w:r>
    </w:p>
    <w:p w14:paraId="212293F6">
      <w:pPr>
        <w:pStyle w:val="6"/>
        <w:spacing w:before="78" w:line="295" w:lineRule="auto"/>
        <w:ind w:left="73" w:right="70" w:firstLine="654"/>
        <w:rPr>
          <w:sz w:val="33"/>
          <w:szCs w:val="33"/>
        </w:rPr>
      </w:pPr>
      <w:r>
        <w:rPr>
          <w:b/>
          <w:bCs/>
          <w:spacing w:val="-9"/>
          <w:sz w:val="33"/>
          <w:szCs w:val="33"/>
        </w:rPr>
        <w:t>2.资金到位。</w:t>
      </w:r>
      <w:r>
        <w:rPr>
          <w:spacing w:val="-9"/>
          <w:sz w:val="33"/>
          <w:szCs w:val="33"/>
        </w:rPr>
        <w:t>2023年，本级财政下达综合执法经费项目</w:t>
      </w:r>
      <w:r>
        <w:rPr>
          <w:spacing w:val="3"/>
          <w:sz w:val="33"/>
          <w:szCs w:val="33"/>
        </w:rPr>
        <w:t xml:space="preserve"> </w:t>
      </w:r>
      <w:r>
        <w:rPr>
          <w:sz w:val="33"/>
          <w:szCs w:val="33"/>
        </w:rPr>
        <w:t>资金30.00万元，资金到位率为100</w:t>
      </w:r>
      <w:r>
        <w:rPr>
          <w:spacing w:val="-1"/>
          <w:sz w:val="33"/>
          <w:szCs w:val="33"/>
        </w:rPr>
        <w:t>%。</w:t>
      </w:r>
    </w:p>
    <w:p w14:paraId="2090434B">
      <w:pPr>
        <w:pStyle w:val="6"/>
        <w:spacing w:before="38" w:line="308" w:lineRule="auto"/>
        <w:ind w:left="73" w:right="90" w:firstLine="654"/>
        <w:rPr>
          <w:sz w:val="33"/>
          <w:szCs w:val="33"/>
        </w:rPr>
      </w:pPr>
      <w:r>
        <w:rPr>
          <w:b/>
          <w:bCs/>
          <w:spacing w:val="-10"/>
          <w:sz w:val="33"/>
          <w:szCs w:val="33"/>
        </w:rPr>
        <w:t>3.资金使用。</w:t>
      </w:r>
      <w:r>
        <w:rPr>
          <w:spacing w:val="-10"/>
          <w:sz w:val="33"/>
          <w:szCs w:val="33"/>
        </w:rPr>
        <w:t>2023年，本级财政下达综合执法经费项目</w:t>
      </w:r>
      <w:r>
        <w:rPr>
          <w:spacing w:val="9"/>
          <w:sz w:val="33"/>
          <w:szCs w:val="33"/>
        </w:rPr>
        <w:t xml:space="preserve"> </w:t>
      </w:r>
      <w:r>
        <w:rPr>
          <w:spacing w:val="-4"/>
          <w:sz w:val="33"/>
          <w:szCs w:val="33"/>
        </w:rPr>
        <w:t>资金30.00万元，我单位严格按照财务制度和项目预算支出</w:t>
      </w:r>
      <w:r>
        <w:rPr>
          <w:spacing w:val="13"/>
          <w:sz w:val="33"/>
          <w:szCs w:val="33"/>
        </w:rPr>
        <w:t xml:space="preserve"> </w:t>
      </w:r>
      <w:r>
        <w:rPr>
          <w:spacing w:val="1"/>
          <w:sz w:val="33"/>
          <w:szCs w:val="33"/>
        </w:rPr>
        <w:t>范围，将该经费全额用于保障执法大队(含超限站)</w:t>
      </w:r>
      <w:r>
        <w:rPr>
          <w:sz w:val="33"/>
          <w:szCs w:val="33"/>
        </w:rPr>
        <w:t xml:space="preserve">行政、 </w:t>
      </w:r>
      <w:r>
        <w:rPr>
          <w:spacing w:val="-14"/>
          <w:sz w:val="33"/>
          <w:szCs w:val="33"/>
        </w:rPr>
        <w:t>执法工作的正常运转。</w:t>
      </w:r>
    </w:p>
    <w:p w14:paraId="7CDCC208">
      <w:pPr>
        <w:spacing w:before="39" w:line="223" w:lineRule="auto"/>
        <w:ind w:left="928"/>
        <w:outlineLvl w:val="6"/>
        <w:rPr>
          <w:rFonts w:ascii="楷体" w:hAnsi="楷体" w:eastAsia="楷体" w:cs="楷体"/>
          <w:sz w:val="33"/>
          <w:szCs w:val="33"/>
        </w:rPr>
      </w:pPr>
      <w:r>
        <w:rPr>
          <w:rFonts w:ascii="楷体" w:hAnsi="楷体" w:eastAsia="楷体" w:cs="楷体"/>
          <w:b/>
          <w:bCs/>
          <w:sz w:val="33"/>
          <w:szCs w:val="33"/>
        </w:rPr>
        <w:t>(三)项目财务管理情况</w:t>
      </w:r>
    </w:p>
    <w:p w14:paraId="297AEB3B">
      <w:pPr>
        <w:pStyle w:val="6"/>
        <w:spacing w:before="168" w:line="316" w:lineRule="auto"/>
        <w:ind w:left="73" w:right="125" w:firstLine="649"/>
        <w:rPr>
          <w:sz w:val="33"/>
          <w:szCs w:val="33"/>
        </w:rPr>
      </w:pPr>
      <w:r>
        <w:rPr>
          <w:spacing w:val="-11"/>
          <w:sz w:val="33"/>
          <w:szCs w:val="33"/>
        </w:rPr>
        <w:t>射洪市交通运输局财务管理制度健全，严格执行</w:t>
      </w:r>
      <w:r>
        <w:rPr>
          <w:spacing w:val="-12"/>
          <w:sz w:val="33"/>
          <w:szCs w:val="33"/>
        </w:rPr>
        <w:t>财务管</w:t>
      </w:r>
      <w:r>
        <w:rPr>
          <w:sz w:val="33"/>
          <w:szCs w:val="33"/>
        </w:rPr>
        <w:t xml:space="preserve"> </w:t>
      </w:r>
      <w:r>
        <w:rPr>
          <w:spacing w:val="-13"/>
          <w:sz w:val="33"/>
          <w:szCs w:val="33"/>
        </w:rPr>
        <w:t>理制度，账务及时处理，会计核算规范。</w:t>
      </w:r>
    </w:p>
    <w:p w14:paraId="4A5184AA">
      <w:pPr>
        <w:spacing w:before="12" w:line="219" w:lineRule="auto"/>
        <w:ind w:left="728"/>
        <w:outlineLvl w:val="1"/>
        <w:rPr>
          <w:rFonts w:ascii="宋体" w:hAnsi="宋体" w:eastAsia="宋体" w:cs="宋体"/>
          <w:sz w:val="33"/>
          <w:szCs w:val="33"/>
        </w:rPr>
      </w:pPr>
      <w:bookmarkStart w:id="113" w:name="_Toc20444"/>
      <w:bookmarkStart w:id="114" w:name="_Toc22524"/>
      <w:r>
        <w:rPr>
          <w:rFonts w:ascii="宋体" w:hAnsi="宋体" w:eastAsia="宋体" w:cs="宋体"/>
          <w:b/>
          <w:bCs/>
          <w:spacing w:val="-23"/>
          <w:sz w:val="33"/>
          <w:szCs w:val="33"/>
        </w:rPr>
        <w:t>三</w:t>
      </w:r>
      <w:r>
        <w:rPr>
          <w:rFonts w:ascii="宋体" w:hAnsi="宋体" w:eastAsia="宋体" w:cs="宋体"/>
          <w:spacing w:val="-87"/>
          <w:sz w:val="33"/>
          <w:szCs w:val="33"/>
        </w:rPr>
        <w:t xml:space="preserve"> </w:t>
      </w:r>
      <w:r>
        <w:rPr>
          <w:rFonts w:ascii="宋体" w:hAnsi="宋体" w:eastAsia="宋体" w:cs="宋体"/>
          <w:b/>
          <w:bCs/>
          <w:spacing w:val="-23"/>
          <w:sz w:val="33"/>
          <w:szCs w:val="33"/>
        </w:rPr>
        <w:t>、项目实施及管理情况</w:t>
      </w:r>
      <w:bookmarkEnd w:id="113"/>
      <w:bookmarkEnd w:id="114"/>
    </w:p>
    <w:p w14:paraId="673AC61C">
      <w:pPr>
        <w:spacing w:before="154" w:line="224" w:lineRule="auto"/>
        <w:ind w:left="928"/>
        <w:outlineLvl w:val="6"/>
        <w:rPr>
          <w:rFonts w:ascii="楷体" w:hAnsi="楷体" w:eastAsia="楷体" w:cs="楷体"/>
          <w:sz w:val="33"/>
          <w:szCs w:val="33"/>
        </w:rPr>
      </w:pPr>
      <w:r>
        <w:rPr>
          <w:rFonts w:ascii="楷体" w:hAnsi="楷体" w:eastAsia="楷体" w:cs="楷体"/>
          <w:b/>
          <w:bCs/>
          <w:spacing w:val="3"/>
          <w:sz w:val="33"/>
          <w:szCs w:val="33"/>
        </w:rPr>
        <w:t>(一)项目组织架构及实施流程</w:t>
      </w:r>
    </w:p>
    <w:p w14:paraId="6F44962E">
      <w:pPr>
        <w:pStyle w:val="6"/>
        <w:spacing w:before="165" w:line="300" w:lineRule="auto"/>
        <w:ind w:left="73" w:right="90" w:firstLine="649"/>
        <w:rPr>
          <w:sz w:val="33"/>
          <w:szCs w:val="33"/>
        </w:rPr>
      </w:pPr>
      <w:r>
        <w:rPr>
          <w:spacing w:val="-3"/>
          <w:sz w:val="33"/>
          <w:szCs w:val="33"/>
        </w:rPr>
        <w:t>该项目经费实际支出金额为30.00万元，开支范围和标</w:t>
      </w:r>
      <w:r>
        <w:rPr>
          <w:spacing w:val="12"/>
          <w:sz w:val="33"/>
          <w:szCs w:val="33"/>
        </w:rPr>
        <w:t xml:space="preserve"> </w:t>
      </w:r>
      <w:r>
        <w:rPr>
          <w:spacing w:val="-14"/>
          <w:sz w:val="33"/>
          <w:szCs w:val="33"/>
        </w:rPr>
        <w:t>准均在年初预算控制内执行。</w:t>
      </w:r>
    </w:p>
    <w:p w14:paraId="56FA2233">
      <w:pPr>
        <w:spacing w:before="49" w:line="223" w:lineRule="auto"/>
        <w:ind w:left="928"/>
        <w:outlineLvl w:val="6"/>
        <w:rPr>
          <w:rFonts w:ascii="楷体" w:hAnsi="楷体" w:eastAsia="楷体" w:cs="楷体"/>
          <w:sz w:val="33"/>
          <w:szCs w:val="33"/>
        </w:rPr>
      </w:pPr>
      <w:r>
        <w:rPr>
          <w:rFonts w:ascii="楷体" w:hAnsi="楷体" w:eastAsia="楷体" w:cs="楷体"/>
          <w:b/>
          <w:bCs/>
          <w:spacing w:val="4"/>
          <w:sz w:val="33"/>
          <w:szCs w:val="33"/>
        </w:rPr>
        <w:t>(二)项目管理情况</w:t>
      </w:r>
    </w:p>
    <w:p w14:paraId="01864DE9">
      <w:pPr>
        <w:pStyle w:val="6"/>
        <w:spacing w:before="165" w:line="306" w:lineRule="auto"/>
        <w:ind w:left="73" w:right="76" w:firstLine="649"/>
        <w:jc w:val="both"/>
        <w:rPr>
          <w:sz w:val="33"/>
          <w:szCs w:val="33"/>
        </w:rPr>
      </w:pPr>
      <w:r>
        <w:rPr>
          <w:spacing w:val="5"/>
          <w:sz w:val="33"/>
          <w:szCs w:val="33"/>
        </w:rPr>
        <w:t>本项目的经费严格按照单位的财务制度和预算</w:t>
      </w:r>
      <w:r>
        <w:rPr>
          <w:spacing w:val="4"/>
          <w:sz w:val="33"/>
          <w:szCs w:val="33"/>
        </w:rPr>
        <w:t>支出范</w:t>
      </w:r>
      <w:r>
        <w:rPr>
          <w:sz w:val="33"/>
          <w:szCs w:val="33"/>
        </w:rPr>
        <w:t xml:space="preserve"> </w:t>
      </w:r>
      <w:r>
        <w:rPr>
          <w:spacing w:val="-11"/>
          <w:sz w:val="33"/>
          <w:szCs w:val="33"/>
        </w:rPr>
        <w:t>围的使用。由局财务统一核算，按照项目计划安排</w:t>
      </w:r>
      <w:r>
        <w:rPr>
          <w:spacing w:val="-12"/>
          <w:sz w:val="33"/>
          <w:szCs w:val="33"/>
        </w:rPr>
        <w:t>和实际工</w:t>
      </w:r>
      <w:r>
        <w:rPr>
          <w:sz w:val="33"/>
          <w:szCs w:val="33"/>
        </w:rPr>
        <w:t xml:space="preserve"> </w:t>
      </w:r>
      <w:r>
        <w:rPr>
          <w:spacing w:val="-11"/>
          <w:sz w:val="33"/>
          <w:szCs w:val="33"/>
        </w:rPr>
        <w:t>作情况开支，做到了专款专用，经费均按照射洪市财政局印</w:t>
      </w:r>
      <w:r>
        <w:rPr>
          <w:spacing w:val="15"/>
          <w:sz w:val="33"/>
          <w:szCs w:val="33"/>
        </w:rPr>
        <w:t xml:space="preserve"> </w:t>
      </w:r>
      <w:r>
        <w:rPr>
          <w:spacing w:val="-14"/>
          <w:sz w:val="33"/>
          <w:szCs w:val="33"/>
        </w:rPr>
        <w:t>发有关文件、通知精神执行。</w:t>
      </w:r>
    </w:p>
    <w:p w14:paraId="4CFCE84D">
      <w:pPr>
        <w:spacing w:before="58" w:line="223" w:lineRule="auto"/>
        <w:ind w:left="728"/>
        <w:outlineLvl w:val="6"/>
        <w:rPr>
          <w:rFonts w:ascii="楷体" w:hAnsi="楷体" w:eastAsia="楷体" w:cs="楷体"/>
          <w:sz w:val="33"/>
          <w:szCs w:val="33"/>
        </w:rPr>
      </w:pPr>
      <w:r>
        <w:rPr>
          <w:rFonts w:ascii="楷体" w:hAnsi="楷体" w:eastAsia="楷体" w:cs="楷体"/>
          <w:b/>
          <w:bCs/>
          <w:spacing w:val="-16"/>
          <w:sz w:val="33"/>
          <w:szCs w:val="33"/>
        </w:rPr>
        <w:t>(三)项目监管情况</w:t>
      </w:r>
    </w:p>
    <w:p w14:paraId="31529936">
      <w:pPr>
        <w:pStyle w:val="6"/>
        <w:spacing w:before="168" w:line="316" w:lineRule="auto"/>
        <w:ind w:left="73" w:right="125" w:firstLine="649"/>
        <w:rPr>
          <w:spacing w:val="-11"/>
          <w:sz w:val="33"/>
          <w:szCs w:val="33"/>
        </w:rPr>
      </w:pPr>
      <w:r>
        <w:rPr>
          <w:spacing w:val="-11"/>
          <w:sz w:val="33"/>
          <w:szCs w:val="33"/>
        </w:rPr>
        <w:t>交通运输局为加强此项目监管，由局财务股进行日常监督，最后由执法大队组织进行验收，做到每一环节有人监</w:t>
      </w:r>
      <w:r>
        <w:rPr>
          <w:rFonts w:hint="eastAsia"/>
          <w:spacing w:val="-11"/>
          <w:sz w:val="33"/>
          <w:szCs w:val="33"/>
          <w:lang w:eastAsia="zh-CN"/>
        </w:rPr>
        <w:t>管，</w:t>
      </w:r>
      <w:r>
        <w:rPr>
          <w:spacing w:val="-11"/>
          <w:sz w:val="33"/>
          <w:szCs w:val="33"/>
        </w:rPr>
        <w:t>在透明化制度下</w:t>
      </w:r>
      <w:r>
        <w:rPr>
          <w:rFonts w:hint="eastAsia"/>
          <w:spacing w:val="-11"/>
          <w:sz w:val="33"/>
          <w:szCs w:val="33"/>
          <w:lang w:eastAsia="zh-CN"/>
        </w:rPr>
        <w:t>有序地进行</w:t>
      </w:r>
      <w:r>
        <w:rPr>
          <w:spacing w:val="-11"/>
          <w:sz w:val="33"/>
          <w:szCs w:val="33"/>
        </w:rPr>
        <w:t>。</w:t>
      </w:r>
    </w:p>
    <w:p w14:paraId="02DA0A36">
      <w:pPr>
        <w:spacing w:before="183" w:line="220" w:lineRule="auto"/>
        <w:ind w:left="739"/>
        <w:outlineLvl w:val="1"/>
        <w:rPr>
          <w:rFonts w:ascii="宋体" w:hAnsi="宋体" w:eastAsia="宋体" w:cs="宋体"/>
          <w:sz w:val="32"/>
          <w:szCs w:val="32"/>
        </w:rPr>
      </w:pPr>
      <w:bookmarkStart w:id="115" w:name="_Toc23081"/>
      <w:bookmarkStart w:id="116" w:name="_Toc8992"/>
      <w:r>
        <w:rPr>
          <w:rFonts w:ascii="宋体" w:hAnsi="宋体" w:eastAsia="宋体" w:cs="宋体"/>
          <w:b/>
          <w:bCs/>
          <w:spacing w:val="-21"/>
          <w:sz w:val="32"/>
          <w:szCs w:val="32"/>
        </w:rPr>
        <w:t>四</w:t>
      </w:r>
      <w:r>
        <w:rPr>
          <w:rFonts w:ascii="宋体" w:hAnsi="宋体" w:eastAsia="宋体" w:cs="宋体"/>
          <w:spacing w:val="-66"/>
          <w:sz w:val="32"/>
          <w:szCs w:val="32"/>
        </w:rPr>
        <w:t xml:space="preserve"> </w:t>
      </w:r>
      <w:r>
        <w:rPr>
          <w:rFonts w:ascii="宋体" w:hAnsi="宋体" w:eastAsia="宋体" w:cs="宋体"/>
          <w:b/>
          <w:bCs/>
          <w:spacing w:val="-21"/>
          <w:sz w:val="32"/>
          <w:szCs w:val="32"/>
        </w:rPr>
        <w:t>、项目绩效情况</w:t>
      </w:r>
      <w:bookmarkEnd w:id="115"/>
      <w:bookmarkEnd w:id="116"/>
    </w:p>
    <w:p w14:paraId="76FCFBC9">
      <w:pPr>
        <w:spacing w:before="175" w:line="227" w:lineRule="auto"/>
        <w:ind w:left="939"/>
        <w:outlineLvl w:val="6"/>
        <w:rPr>
          <w:rFonts w:ascii="楷体" w:hAnsi="楷体" w:eastAsia="楷体" w:cs="楷体"/>
          <w:sz w:val="32"/>
          <w:szCs w:val="32"/>
        </w:rPr>
      </w:pPr>
      <w:r>
        <w:rPr>
          <w:rFonts w:ascii="楷体" w:hAnsi="楷体" w:eastAsia="楷体" w:cs="楷体"/>
          <w:b/>
          <w:bCs/>
          <w:spacing w:val="13"/>
          <w:sz w:val="32"/>
          <w:szCs w:val="32"/>
        </w:rPr>
        <w:t>(一)项目完成情况</w:t>
      </w:r>
    </w:p>
    <w:p w14:paraId="000702FC">
      <w:pPr>
        <w:pStyle w:val="6"/>
        <w:spacing w:before="169" w:line="316" w:lineRule="auto"/>
        <w:ind w:left="105" w:right="18" w:firstLine="629"/>
        <w:jc w:val="both"/>
        <w:rPr>
          <w:sz w:val="32"/>
          <w:szCs w:val="32"/>
        </w:rPr>
      </w:pPr>
      <w:r>
        <w:rPr>
          <w:spacing w:val="-11"/>
          <w:sz w:val="33"/>
          <w:szCs w:val="33"/>
        </w:rPr>
        <w:t>该项目内容合理，项目绩效目标合理明晰，符合行政执法落实“三项制度”和“标准化”建设相关政策。资金涉及项目均制定了相应的项目管理、执行制度和方案，制度执行基本规范有效。</w:t>
      </w:r>
    </w:p>
    <w:p w14:paraId="3E1AB8F2">
      <w:pPr>
        <w:spacing w:before="46" w:line="227" w:lineRule="auto"/>
        <w:ind w:left="939"/>
        <w:outlineLvl w:val="6"/>
        <w:rPr>
          <w:rFonts w:ascii="楷体" w:hAnsi="楷体" w:eastAsia="楷体" w:cs="楷体"/>
          <w:sz w:val="32"/>
          <w:szCs w:val="32"/>
        </w:rPr>
      </w:pPr>
      <w:r>
        <w:rPr>
          <w:rFonts w:ascii="楷体" w:hAnsi="楷体" w:eastAsia="楷体" w:cs="楷体"/>
          <w:b/>
          <w:bCs/>
          <w:spacing w:val="11"/>
          <w:sz w:val="32"/>
          <w:szCs w:val="32"/>
        </w:rPr>
        <w:t>(二)项目效益情况</w:t>
      </w:r>
    </w:p>
    <w:p w14:paraId="4D7D6F79">
      <w:pPr>
        <w:pStyle w:val="6"/>
        <w:spacing w:before="169" w:line="316" w:lineRule="auto"/>
        <w:ind w:left="105" w:right="18" w:firstLine="629"/>
        <w:jc w:val="both"/>
        <w:rPr>
          <w:spacing w:val="-11"/>
          <w:sz w:val="33"/>
          <w:szCs w:val="33"/>
        </w:rPr>
      </w:pPr>
      <w:r>
        <w:rPr>
          <w:spacing w:val="-11"/>
          <w:sz w:val="33"/>
          <w:szCs w:val="33"/>
        </w:rPr>
        <w:t>项目社会效益显著,可持续影响明显，交通事故发生率 明显下降，驾驶员安全意识显著加强。</w:t>
      </w:r>
    </w:p>
    <w:p w14:paraId="2278F5BB">
      <w:pPr>
        <w:spacing w:before="46" w:line="218" w:lineRule="auto"/>
        <w:ind w:left="739"/>
        <w:outlineLvl w:val="1"/>
        <w:rPr>
          <w:rFonts w:ascii="宋体" w:hAnsi="宋体" w:eastAsia="宋体" w:cs="宋体"/>
          <w:sz w:val="32"/>
          <w:szCs w:val="32"/>
        </w:rPr>
      </w:pPr>
      <w:bookmarkStart w:id="117" w:name="_Toc21658"/>
      <w:bookmarkStart w:id="118" w:name="_Toc14409"/>
      <w:r>
        <w:rPr>
          <w:rFonts w:ascii="宋体" w:hAnsi="宋体" w:eastAsia="宋体" w:cs="宋体"/>
          <w:b/>
          <w:bCs/>
          <w:spacing w:val="-7"/>
          <w:sz w:val="32"/>
          <w:szCs w:val="32"/>
        </w:rPr>
        <w:t>五、评价结论及建议</w:t>
      </w:r>
      <w:bookmarkEnd w:id="117"/>
      <w:bookmarkEnd w:id="118"/>
    </w:p>
    <w:p w14:paraId="1D3294C0">
      <w:pPr>
        <w:pStyle w:val="6"/>
        <w:spacing w:before="172" w:line="303" w:lineRule="auto"/>
        <w:ind w:left="734" w:right="5469" w:firstLine="170"/>
        <w:rPr>
          <w:spacing w:val="-11"/>
          <w:sz w:val="33"/>
          <w:szCs w:val="33"/>
        </w:rPr>
      </w:pPr>
      <w:r>
        <w:rPr>
          <w:rFonts w:ascii="楷体" w:hAnsi="楷体" w:eastAsia="楷体" w:cs="楷体"/>
          <w:b/>
          <w:bCs/>
          <w:spacing w:val="11"/>
          <w:kern w:val="2"/>
          <w:sz w:val="32"/>
          <w:szCs w:val="32"/>
          <w:lang w:val="en-US" w:eastAsia="zh-CN" w:bidi="ar-SA"/>
        </w:rPr>
        <w:t xml:space="preserve">(一)评价结论 </w:t>
      </w:r>
      <w:r>
        <w:rPr>
          <w:spacing w:val="-11"/>
          <w:sz w:val="33"/>
          <w:szCs w:val="33"/>
        </w:rPr>
        <w:t>优</w:t>
      </w:r>
    </w:p>
    <w:p w14:paraId="78A9488C">
      <w:pPr>
        <w:spacing w:before="81" w:line="227" w:lineRule="auto"/>
        <w:ind w:left="939"/>
        <w:outlineLvl w:val="6"/>
        <w:rPr>
          <w:rFonts w:ascii="楷体" w:hAnsi="楷体" w:eastAsia="楷体" w:cs="楷体"/>
          <w:sz w:val="32"/>
          <w:szCs w:val="32"/>
        </w:rPr>
      </w:pPr>
      <w:r>
        <w:rPr>
          <w:rFonts w:ascii="楷体" w:hAnsi="楷体" w:eastAsia="楷体" w:cs="楷体"/>
          <w:b/>
          <w:bCs/>
          <w:spacing w:val="11"/>
          <w:sz w:val="32"/>
          <w:szCs w:val="32"/>
        </w:rPr>
        <w:t>(二)存在的问题</w:t>
      </w:r>
    </w:p>
    <w:p w14:paraId="2136B223">
      <w:pPr>
        <w:pStyle w:val="6"/>
        <w:spacing w:before="169" w:line="316" w:lineRule="auto"/>
        <w:ind w:left="105" w:right="18" w:firstLine="629"/>
        <w:jc w:val="both"/>
        <w:rPr>
          <w:spacing w:val="-11"/>
          <w:sz w:val="33"/>
          <w:szCs w:val="33"/>
        </w:rPr>
      </w:pPr>
      <w:r>
        <w:rPr>
          <w:spacing w:val="-11"/>
          <w:sz w:val="33"/>
          <w:szCs w:val="33"/>
        </w:rPr>
        <w:t>交通违法行为日益多样化且涉及的点多面广，执法工作还需要大量的人力、物力资源来监督和管理。</w:t>
      </w:r>
    </w:p>
    <w:p w14:paraId="4BEED613">
      <w:pPr>
        <w:spacing w:before="20" w:line="232" w:lineRule="auto"/>
        <w:ind w:left="939"/>
        <w:outlineLvl w:val="6"/>
        <w:rPr>
          <w:rFonts w:ascii="楷体" w:hAnsi="楷体" w:eastAsia="楷体" w:cs="楷体"/>
          <w:sz w:val="32"/>
          <w:szCs w:val="32"/>
        </w:rPr>
      </w:pPr>
      <w:r>
        <w:rPr>
          <w:rFonts w:ascii="楷体" w:hAnsi="楷体" w:eastAsia="楷体" w:cs="楷体"/>
          <w:b/>
          <w:bCs/>
          <w:spacing w:val="11"/>
          <w:sz w:val="32"/>
          <w:szCs w:val="32"/>
        </w:rPr>
        <w:t>(三)相关建议</w:t>
      </w:r>
    </w:p>
    <w:p w14:paraId="1E6B25F8">
      <w:pPr>
        <w:pStyle w:val="6"/>
        <w:spacing w:before="183" w:line="311" w:lineRule="auto"/>
        <w:ind w:left="105" w:right="126" w:firstLine="629"/>
        <w:rPr>
          <w:sz w:val="32"/>
          <w:szCs w:val="32"/>
        </w:rPr>
      </w:pPr>
      <w:r>
        <w:rPr>
          <w:spacing w:val="-11"/>
          <w:sz w:val="33"/>
          <w:szCs w:val="33"/>
        </w:rPr>
        <w:t>加强交通执法力量的建设，进一步增加交通执法人力、 财力的投入，不断提高社会公众的交通安全法律意识</w:t>
      </w:r>
      <w:r>
        <w:rPr>
          <w:spacing w:val="-3"/>
          <w:sz w:val="32"/>
          <w:szCs w:val="32"/>
        </w:rPr>
        <w:t>。</w:t>
      </w:r>
    </w:p>
    <w:p w14:paraId="63CA5667">
      <w:r>
        <w:br w:type="page"/>
      </w:r>
    </w:p>
    <w:p w14:paraId="50AD388C">
      <w:pPr>
        <w:keepNext w:val="0"/>
        <w:keepLines w:val="0"/>
        <w:pageBreakBefore w:val="0"/>
        <w:widowControl w:val="0"/>
        <w:kinsoku/>
        <w:wordWrap/>
        <w:overflowPunct/>
        <w:topLinePunct w:val="0"/>
        <w:autoSpaceDE/>
        <w:autoSpaceDN/>
        <w:bidi w:val="0"/>
        <w:adjustRightInd/>
        <w:snapToGrid/>
        <w:spacing w:before="206" w:line="400" w:lineRule="exact"/>
        <w:ind w:left="3010"/>
        <w:textAlignment w:val="auto"/>
        <w:rPr>
          <w:rFonts w:ascii="宋体" w:hAnsi="宋体" w:eastAsia="宋体" w:cs="宋体"/>
          <w:sz w:val="36"/>
          <w:szCs w:val="36"/>
        </w:rPr>
      </w:pPr>
      <w:r>
        <w:rPr>
          <w:rFonts w:ascii="宋体" w:hAnsi="宋体" w:eastAsia="宋体" w:cs="宋体"/>
          <w:b/>
          <w:bCs/>
          <w:spacing w:val="-6"/>
          <w:sz w:val="36"/>
          <w:szCs w:val="36"/>
        </w:rPr>
        <w:t>射洪市交通运输局</w:t>
      </w:r>
    </w:p>
    <w:p w14:paraId="753445F7">
      <w:pPr>
        <w:keepNext w:val="0"/>
        <w:keepLines w:val="0"/>
        <w:pageBreakBefore w:val="0"/>
        <w:widowControl w:val="0"/>
        <w:kinsoku/>
        <w:wordWrap/>
        <w:overflowPunct/>
        <w:topLinePunct w:val="0"/>
        <w:autoSpaceDE/>
        <w:autoSpaceDN/>
        <w:bidi w:val="0"/>
        <w:adjustRightInd/>
        <w:snapToGrid/>
        <w:spacing w:before="117" w:line="400" w:lineRule="exact"/>
        <w:ind w:left="1710"/>
        <w:textAlignment w:val="auto"/>
        <w:outlineLvl w:val="1"/>
        <w:rPr>
          <w:rFonts w:ascii="宋体" w:hAnsi="宋体" w:eastAsia="宋体" w:cs="宋体"/>
          <w:sz w:val="36"/>
          <w:szCs w:val="36"/>
        </w:rPr>
      </w:pPr>
      <w:bookmarkStart w:id="119" w:name="_Toc8974"/>
      <w:bookmarkStart w:id="120" w:name="_Toc19228"/>
      <w:r>
        <w:rPr>
          <w:rFonts w:ascii="宋体" w:hAnsi="宋体" w:eastAsia="宋体" w:cs="宋体"/>
          <w:b/>
          <w:bCs/>
          <w:spacing w:val="-3"/>
          <w:sz w:val="36"/>
          <w:szCs w:val="36"/>
        </w:rPr>
        <w:t>综合执法经费项目支出绩效自评表</w:t>
      </w:r>
      <w:bookmarkEnd w:id="119"/>
      <w:bookmarkEnd w:id="120"/>
    </w:p>
    <w:p w14:paraId="7489FECF">
      <w:pPr>
        <w:spacing w:before="101" w:line="219" w:lineRule="auto"/>
        <w:ind w:left="3925"/>
        <w:rPr>
          <w:rFonts w:ascii="宋体" w:hAnsi="宋体" w:eastAsia="宋体" w:cs="宋体"/>
          <w:sz w:val="20"/>
          <w:szCs w:val="20"/>
        </w:rPr>
      </w:pPr>
      <w:r>
        <w:rPr>
          <w:rFonts w:ascii="宋体" w:hAnsi="宋体" w:eastAsia="宋体" w:cs="宋体"/>
          <w:spacing w:val="5"/>
          <w:sz w:val="20"/>
          <w:szCs w:val="20"/>
        </w:rPr>
        <w:t>(2023年度)</w:t>
      </w:r>
    </w:p>
    <w:p w14:paraId="46A3DBF9">
      <w:pPr>
        <w:spacing w:line="49" w:lineRule="exact"/>
      </w:pPr>
    </w:p>
    <w:tbl>
      <w:tblPr>
        <w:tblStyle w:val="40"/>
        <w:tblW w:w="87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549"/>
        <w:gridCol w:w="1027"/>
        <w:gridCol w:w="1480"/>
        <w:gridCol w:w="1256"/>
        <w:gridCol w:w="1012"/>
        <w:gridCol w:w="1112"/>
        <w:gridCol w:w="1530"/>
      </w:tblGrid>
      <w:tr w14:paraId="2196AB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2330" w:type="dxa"/>
            <w:gridSpan w:val="3"/>
            <w:vAlign w:val="top"/>
          </w:tcPr>
          <w:p w14:paraId="4322185C">
            <w:pPr>
              <w:pStyle w:val="39"/>
              <w:spacing w:before="72" w:line="220" w:lineRule="auto"/>
              <w:ind w:left="775"/>
              <w:rPr>
                <w:sz w:val="17"/>
                <w:szCs w:val="17"/>
              </w:rPr>
            </w:pPr>
            <w:r>
              <w:rPr>
                <w:spacing w:val="-2"/>
                <w:sz w:val="17"/>
                <w:szCs w:val="17"/>
              </w:rPr>
              <w:t>项目名称</w:t>
            </w:r>
          </w:p>
        </w:tc>
        <w:tc>
          <w:tcPr>
            <w:tcW w:w="6390" w:type="dxa"/>
            <w:gridSpan w:val="5"/>
            <w:vAlign w:val="top"/>
          </w:tcPr>
          <w:p w14:paraId="680E0A46">
            <w:pPr>
              <w:pStyle w:val="39"/>
              <w:spacing w:before="72" w:line="219" w:lineRule="auto"/>
              <w:ind w:left="2723"/>
              <w:rPr>
                <w:sz w:val="17"/>
                <w:szCs w:val="17"/>
              </w:rPr>
            </w:pPr>
            <w:r>
              <w:rPr>
                <w:spacing w:val="-2"/>
                <w:sz w:val="17"/>
                <w:szCs w:val="17"/>
              </w:rPr>
              <w:t>综合执法经费</w:t>
            </w:r>
          </w:p>
        </w:tc>
      </w:tr>
      <w:tr w14:paraId="59B431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2330" w:type="dxa"/>
            <w:gridSpan w:val="3"/>
            <w:vAlign w:val="top"/>
          </w:tcPr>
          <w:p w14:paraId="40B9CCA6">
            <w:pPr>
              <w:pStyle w:val="39"/>
              <w:spacing w:before="227" w:line="219" w:lineRule="auto"/>
              <w:ind w:left="604"/>
              <w:rPr>
                <w:sz w:val="17"/>
                <w:szCs w:val="17"/>
              </w:rPr>
            </w:pPr>
            <w:r>
              <w:rPr>
                <w:spacing w:val="3"/>
                <w:sz w:val="17"/>
                <w:szCs w:val="17"/>
              </w:rPr>
              <w:t>项目主管部门</w:t>
            </w:r>
          </w:p>
        </w:tc>
        <w:tc>
          <w:tcPr>
            <w:tcW w:w="2736" w:type="dxa"/>
            <w:gridSpan w:val="2"/>
            <w:vAlign w:val="top"/>
          </w:tcPr>
          <w:p w14:paraId="0503B8D8">
            <w:pPr>
              <w:pStyle w:val="39"/>
              <w:spacing w:before="227" w:line="219" w:lineRule="auto"/>
              <w:ind w:left="83"/>
              <w:rPr>
                <w:sz w:val="17"/>
                <w:szCs w:val="17"/>
              </w:rPr>
            </w:pPr>
            <w:r>
              <w:rPr>
                <w:spacing w:val="1"/>
                <w:sz w:val="17"/>
                <w:szCs w:val="17"/>
              </w:rPr>
              <w:t>射洪市交通运输局</w:t>
            </w:r>
          </w:p>
        </w:tc>
        <w:tc>
          <w:tcPr>
            <w:tcW w:w="1012" w:type="dxa"/>
            <w:vAlign w:val="top"/>
          </w:tcPr>
          <w:p w14:paraId="1F5D636A">
            <w:pPr>
              <w:pStyle w:val="39"/>
              <w:spacing w:before="47" w:line="305" w:lineRule="auto"/>
              <w:ind w:left="455" w:right="105" w:hanging="339"/>
              <w:rPr>
                <w:sz w:val="17"/>
                <w:szCs w:val="17"/>
              </w:rPr>
            </w:pPr>
            <w:r>
              <w:rPr>
                <w:spacing w:val="1"/>
                <w:sz w:val="17"/>
                <w:szCs w:val="17"/>
              </w:rPr>
              <w:t xml:space="preserve">资金使用单 </w:t>
            </w:r>
            <w:r>
              <w:rPr>
                <w:sz w:val="17"/>
                <w:szCs w:val="17"/>
              </w:rPr>
              <w:t>位</w:t>
            </w:r>
          </w:p>
        </w:tc>
        <w:tc>
          <w:tcPr>
            <w:tcW w:w="2642" w:type="dxa"/>
            <w:gridSpan w:val="2"/>
            <w:vAlign w:val="top"/>
          </w:tcPr>
          <w:p w14:paraId="18FEC311">
            <w:pPr>
              <w:pStyle w:val="39"/>
              <w:spacing w:before="107" w:line="219" w:lineRule="auto"/>
              <w:ind w:left="77"/>
              <w:rPr>
                <w:sz w:val="17"/>
                <w:szCs w:val="17"/>
              </w:rPr>
            </w:pPr>
            <w:r>
              <w:rPr>
                <w:spacing w:val="-1"/>
                <w:sz w:val="17"/>
                <w:szCs w:val="17"/>
              </w:rPr>
              <w:t>射洪市交通运输局(综合行政执法</w:t>
            </w:r>
          </w:p>
          <w:p w14:paraId="1A1182CB">
            <w:pPr>
              <w:pStyle w:val="39"/>
              <w:spacing w:before="48" w:line="220" w:lineRule="auto"/>
              <w:ind w:left="1097"/>
              <w:rPr>
                <w:sz w:val="17"/>
                <w:szCs w:val="17"/>
              </w:rPr>
            </w:pPr>
            <w:r>
              <w:rPr>
                <w:spacing w:val="14"/>
                <w:sz w:val="17"/>
                <w:szCs w:val="17"/>
              </w:rPr>
              <w:t>大队)</w:t>
            </w:r>
          </w:p>
        </w:tc>
      </w:tr>
      <w:tr w14:paraId="7843E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2330" w:type="dxa"/>
            <w:gridSpan w:val="3"/>
            <w:vMerge w:val="restart"/>
            <w:tcBorders>
              <w:bottom w:val="nil"/>
            </w:tcBorders>
            <w:vAlign w:val="top"/>
          </w:tcPr>
          <w:p w14:paraId="75200C97">
            <w:pPr>
              <w:spacing w:line="272" w:lineRule="auto"/>
              <w:rPr>
                <w:rFonts w:ascii="Arial"/>
                <w:sz w:val="21"/>
              </w:rPr>
            </w:pPr>
          </w:p>
          <w:p w14:paraId="12DD60EA">
            <w:pPr>
              <w:spacing w:line="273" w:lineRule="auto"/>
              <w:rPr>
                <w:rFonts w:ascii="Arial"/>
                <w:sz w:val="21"/>
              </w:rPr>
            </w:pPr>
          </w:p>
          <w:p w14:paraId="3686FE4A">
            <w:pPr>
              <w:spacing w:line="273" w:lineRule="auto"/>
              <w:rPr>
                <w:rFonts w:ascii="Arial"/>
                <w:sz w:val="21"/>
              </w:rPr>
            </w:pPr>
          </w:p>
          <w:p w14:paraId="39F1C164">
            <w:pPr>
              <w:pStyle w:val="39"/>
              <w:spacing w:before="55" w:line="220" w:lineRule="auto"/>
              <w:ind w:left="775"/>
              <w:rPr>
                <w:sz w:val="17"/>
                <w:szCs w:val="17"/>
              </w:rPr>
            </w:pPr>
            <w:r>
              <w:rPr>
                <w:spacing w:val="-2"/>
                <w:sz w:val="17"/>
                <w:szCs w:val="17"/>
              </w:rPr>
              <w:t>项目资金</w:t>
            </w:r>
          </w:p>
          <w:p w14:paraId="644BE353">
            <w:pPr>
              <w:pStyle w:val="39"/>
              <w:spacing w:before="107" w:line="220" w:lineRule="auto"/>
              <w:ind w:left="865"/>
              <w:rPr>
                <w:sz w:val="17"/>
                <w:szCs w:val="17"/>
              </w:rPr>
            </w:pPr>
            <w:r>
              <w:rPr>
                <w:spacing w:val="9"/>
                <w:sz w:val="17"/>
                <w:szCs w:val="17"/>
              </w:rPr>
              <w:t>(万元)</w:t>
            </w:r>
          </w:p>
        </w:tc>
        <w:tc>
          <w:tcPr>
            <w:tcW w:w="1480" w:type="dxa"/>
            <w:vAlign w:val="top"/>
          </w:tcPr>
          <w:p w14:paraId="07A93AD5">
            <w:pPr>
              <w:rPr>
                <w:rFonts w:ascii="Arial"/>
                <w:sz w:val="21"/>
              </w:rPr>
            </w:pPr>
          </w:p>
        </w:tc>
        <w:tc>
          <w:tcPr>
            <w:tcW w:w="1256" w:type="dxa"/>
            <w:vAlign w:val="top"/>
          </w:tcPr>
          <w:p w14:paraId="44B3C697">
            <w:pPr>
              <w:pStyle w:val="39"/>
              <w:spacing w:before="68" w:line="219" w:lineRule="auto"/>
              <w:ind w:left="155"/>
              <w:rPr>
                <w:sz w:val="17"/>
                <w:szCs w:val="17"/>
              </w:rPr>
            </w:pPr>
            <w:r>
              <w:rPr>
                <w:spacing w:val="-2"/>
                <w:sz w:val="17"/>
                <w:szCs w:val="17"/>
              </w:rPr>
              <w:t>全年预算数</w:t>
            </w:r>
          </w:p>
        </w:tc>
        <w:tc>
          <w:tcPr>
            <w:tcW w:w="2124" w:type="dxa"/>
            <w:gridSpan w:val="2"/>
            <w:vAlign w:val="top"/>
          </w:tcPr>
          <w:p w14:paraId="32DF1024">
            <w:pPr>
              <w:pStyle w:val="39"/>
              <w:spacing w:before="68" w:line="219" w:lineRule="auto"/>
              <w:ind w:left="556"/>
              <w:rPr>
                <w:sz w:val="17"/>
                <w:szCs w:val="17"/>
              </w:rPr>
            </w:pPr>
            <w:r>
              <w:rPr>
                <w:spacing w:val="-2"/>
                <w:sz w:val="17"/>
                <w:szCs w:val="17"/>
              </w:rPr>
              <w:t>全年执行数</w:t>
            </w:r>
          </w:p>
        </w:tc>
        <w:tc>
          <w:tcPr>
            <w:tcW w:w="1530" w:type="dxa"/>
            <w:vAlign w:val="top"/>
          </w:tcPr>
          <w:p w14:paraId="0209EB77">
            <w:pPr>
              <w:pStyle w:val="39"/>
              <w:spacing w:before="68" w:line="219" w:lineRule="auto"/>
              <w:ind w:left="448"/>
              <w:rPr>
                <w:sz w:val="17"/>
                <w:szCs w:val="17"/>
              </w:rPr>
            </w:pPr>
            <w:r>
              <w:rPr>
                <w:spacing w:val="-2"/>
                <w:sz w:val="17"/>
                <w:szCs w:val="17"/>
              </w:rPr>
              <w:t>预算执行率</w:t>
            </w:r>
          </w:p>
        </w:tc>
      </w:tr>
      <w:tr w14:paraId="515D8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330" w:type="dxa"/>
            <w:gridSpan w:val="3"/>
            <w:vMerge w:val="continue"/>
            <w:tcBorders>
              <w:top w:val="nil"/>
              <w:bottom w:val="nil"/>
            </w:tcBorders>
            <w:vAlign w:val="top"/>
          </w:tcPr>
          <w:p w14:paraId="38C2985D">
            <w:pPr>
              <w:rPr>
                <w:rFonts w:ascii="Arial"/>
                <w:sz w:val="21"/>
              </w:rPr>
            </w:pPr>
          </w:p>
        </w:tc>
        <w:tc>
          <w:tcPr>
            <w:tcW w:w="1480" w:type="dxa"/>
            <w:vAlign w:val="top"/>
          </w:tcPr>
          <w:p w14:paraId="0072C5D2">
            <w:pPr>
              <w:pStyle w:val="39"/>
              <w:spacing w:before="79" w:line="219" w:lineRule="auto"/>
              <w:ind w:left="63"/>
              <w:rPr>
                <w:sz w:val="17"/>
                <w:szCs w:val="17"/>
              </w:rPr>
            </w:pPr>
            <w:r>
              <w:rPr>
                <w:spacing w:val="-1"/>
                <w:sz w:val="17"/>
                <w:szCs w:val="17"/>
              </w:rPr>
              <w:t>年度资金总额：</w:t>
            </w:r>
          </w:p>
        </w:tc>
        <w:tc>
          <w:tcPr>
            <w:tcW w:w="1256" w:type="dxa"/>
            <w:vAlign w:val="top"/>
          </w:tcPr>
          <w:p w14:paraId="115642DC">
            <w:pPr>
              <w:pStyle w:val="39"/>
              <w:spacing w:before="122" w:line="183" w:lineRule="auto"/>
              <w:ind w:left="495"/>
              <w:rPr>
                <w:sz w:val="17"/>
                <w:szCs w:val="17"/>
              </w:rPr>
            </w:pPr>
            <w:r>
              <w:rPr>
                <w:spacing w:val="-3"/>
                <w:sz w:val="17"/>
                <w:szCs w:val="17"/>
              </w:rPr>
              <w:t>30</w:t>
            </w:r>
          </w:p>
        </w:tc>
        <w:tc>
          <w:tcPr>
            <w:tcW w:w="2124" w:type="dxa"/>
            <w:gridSpan w:val="2"/>
            <w:vAlign w:val="top"/>
          </w:tcPr>
          <w:p w14:paraId="253B7592">
            <w:pPr>
              <w:pStyle w:val="39"/>
              <w:spacing w:before="122" w:line="183" w:lineRule="auto"/>
              <w:ind w:left="896"/>
              <w:rPr>
                <w:sz w:val="17"/>
                <w:szCs w:val="17"/>
              </w:rPr>
            </w:pPr>
            <w:r>
              <w:rPr>
                <w:spacing w:val="-3"/>
                <w:sz w:val="17"/>
                <w:szCs w:val="17"/>
              </w:rPr>
              <w:t>30</w:t>
            </w:r>
          </w:p>
        </w:tc>
        <w:tc>
          <w:tcPr>
            <w:tcW w:w="1530" w:type="dxa"/>
            <w:vAlign w:val="top"/>
          </w:tcPr>
          <w:p w14:paraId="7D522A2A">
            <w:pPr>
              <w:pStyle w:val="39"/>
              <w:spacing w:before="121" w:line="184" w:lineRule="auto"/>
              <w:ind w:left="88"/>
              <w:rPr>
                <w:sz w:val="17"/>
                <w:szCs w:val="17"/>
              </w:rPr>
            </w:pPr>
            <w:r>
              <w:rPr>
                <w:spacing w:val="-4"/>
                <w:sz w:val="17"/>
                <w:szCs w:val="17"/>
              </w:rPr>
              <w:t>100%</w:t>
            </w:r>
          </w:p>
        </w:tc>
      </w:tr>
      <w:tr w14:paraId="7682DD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2330" w:type="dxa"/>
            <w:gridSpan w:val="3"/>
            <w:vMerge w:val="continue"/>
            <w:tcBorders>
              <w:top w:val="nil"/>
              <w:bottom w:val="nil"/>
            </w:tcBorders>
            <w:vAlign w:val="top"/>
          </w:tcPr>
          <w:p w14:paraId="46C7CBE5">
            <w:pPr>
              <w:rPr>
                <w:rFonts w:ascii="Arial"/>
                <w:sz w:val="21"/>
              </w:rPr>
            </w:pPr>
          </w:p>
        </w:tc>
        <w:tc>
          <w:tcPr>
            <w:tcW w:w="1480" w:type="dxa"/>
            <w:vAlign w:val="top"/>
          </w:tcPr>
          <w:p w14:paraId="15410FCE">
            <w:pPr>
              <w:pStyle w:val="39"/>
              <w:spacing w:before="59" w:line="304" w:lineRule="auto"/>
              <w:ind w:left="83" w:right="112"/>
              <w:rPr>
                <w:sz w:val="17"/>
                <w:szCs w:val="17"/>
              </w:rPr>
            </w:pPr>
            <w:r>
              <w:rPr>
                <w:spacing w:val="-1"/>
                <w:sz w:val="17"/>
                <w:szCs w:val="17"/>
              </w:rPr>
              <w:t>其中：中央、省补</w:t>
            </w:r>
            <w:r>
              <w:rPr>
                <w:sz w:val="17"/>
                <w:szCs w:val="17"/>
              </w:rPr>
              <w:t xml:space="preserve"> 助</w:t>
            </w:r>
          </w:p>
        </w:tc>
        <w:tc>
          <w:tcPr>
            <w:tcW w:w="1256" w:type="dxa"/>
            <w:vAlign w:val="top"/>
          </w:tcPr>
          <w:p w14:paraId="4864F5C4">
            <w:pPr>
              <w:rPr>
                <w:rFonts w:ascii="Arial"/>
                <w:sz w:val="21"/>
              </w:rPr>
            </w:pPr>
          </w:p>
        </w:tc>
        <w:tc>
          <w:tcPr>
            <w:tcW w:w="2124" w:type="dxa"/>
            <w:gridSpan w:val="2"/>
            <w:vAlign w:val="top"/>
          </w:tcPr>
          <w:p w14:paraId="0202DB8B">
            <w:pPr>
              <w:rPr>
                <w:rFonts w:ascii="Arial"/>
                <w:sz w:val="21"/>
              </w:rPr>
            </w:pPr>
          </w:p>
        </w:tc>
        <w:tc>
          <w:tcPr>
            <w:tcW w:w="1530" w:type="dxa"/>
            <w:vAlign w:val="top"/>
          </w:tcPr>
          <w:p w14:paraId="5515691D">
            <w:pPr>
              <w:rPr>
                <w:rFonts w:ascii="Arial"/>
                <w:sz w:val="21"/>
              </w:rPr>
            </w:pPr>
          </w:p>
        </w:tc>
      </w:tr>
      <w:tr w14:paraId="5225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2330" w:type="dxa"/>
            <w:gridSpan w:val="3"/>
            <w:vMerge w:val="continue"/>
            <w:tcBorders>
              <w:top w:val="nil"/>
              <w:bottom w:val="nil"/>
            </w:tcBorders>
            <w:vAlign w:val="top"/>
          </w:tcPr>
          <w:p w14:paraId="2DE7AB04">
            <w:pPr>
              <w:rPr>
                <w:rFonts w:ascii="Arial"/>
                <w:sz w:val="21"/>
              </w:rPr>
            </w:pPr>
          </w:p>
        </w:tc>
        <w:tc>
          <w:tcPr>
            <w:tcW w:w="1480" w:type="dxa"/>
            <w:vAlign w:val="top"/>
          </w:tcPr>
          <w:p w14:paraId="43EF1D21">
            <w:pPr>
              <w:pStyle w:val="39"/>
              <w:spacing w:before="70" w:line="219" w:lineRule="auto"/>
              <w:ind w:left="433"/>
              <w:rPr>
                <w:sz w:val="17"/>
                <w:szCs w:val="17"/>
              </w:rPr>
            </w:pPr>
            <w:r>
              <w:rPr>
                <w:spacing w:val="-2"/>
                <w:sz w:val="17"/>
                <w:szCs w:val="17"/>
              </w:rPr>
              <w:t>市级财政资金</w:t>
            </w:r>
          </w:p>
        </w:tc>
        <w:tc>
          <w:tcPr>
            <w:tcW w:w="1256" w:type="dxa"/>
            <w:vAlign w:val="top"/>
          </w:tcPr>
          <w:p w14:paraId="15C73CAD">
            <w:pPr>
              <w:rPr>
                <w:rFonts w:ascii="Arial"/>
                <w:sz w:val="21"/>
              </w:rPr>
            </w:pPr>
          </w:p>
        </w:tc>
        <w:tc>
          <w:tcPr>
            <w:tcW w:w="2124" w:type="dxa"/>
            <w:gridSpan w:val="2"/>
            <w:vAlign w:val="top"/>
          </w:tcPr>
          <w:p w14:paraId="26D08845">
            <w:pPr>
              <w:rPr>
                <w:rFonts w:ascii="Arial"/>
                <w:sz w:val="21"/>
              </w:rPr>
            </w:pPr>
          </w:p>
        </w:tc>
        <w:tc>
          <w:tcPr>
            <w:tcW w:w="1530" w:type="dxa"/>
            <w:vAlign w:val="top"/>
          </w:tcPr>
          <w:p w14:paraId="3121986F">
            <w:pPr>
              <w:rPr>
                <w:rFonts w:ascii="Arial"/>
                <w:sz w:val="21"/>
              </w:rPr>
            </w:pPr>
          </w:p>
        </w:tc>
      </w:tr>
      <w:tr w14:paraId="32236A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2330" w:type="dxa"/>
            <w:gridSpan w:val="3"/>
            <w:vMerge w:val="continue"/>
            <w:tcBorders>
              <w:top w:val="nil"/>
              <w:bottom w:val="nil"/>
            </w:tcBorders>
            <w:vAlign w:val="top"/>
          </w:tcPr>
          <w:p w14:paraId="5A5D5ED4">
            <w:pPr>
              <w:rPr>
                <w:rFonts w:ascii="Arial"/>
                <w:sz w:val="21"/>
              </w:rPr>
            </w:pPr>
          </w:p>
        </w:tc>
        <w:tc>
          <w:tcPr>
            <w:tcW w:w="1480" w:type="dxa"/>
            <w:vAlign w:val="top"/>
          </w:tcPr>
          <w:p w14:paraId="7DCCCC4D">
            <w:pPr>
              <w:pStyle w:val="39"/>
              <w:spacing w:before="80" w:line="221" w:lineRule="auto"/>
              <w:ind w:left="403"/>
              <w:rPr>
                <w:sz w:val="17"/>
                <w:szCs w:val="17"/>
              </w:rPr>
            </w:pPr>
            <w:r>
              <w:rPr>
                <w:spacing w:val="-2"/>
                <w:sz w:val="17"/>
                <w:szCs w:val="17"/>
              </w:rPr>
              <w:t>县级财政资金</w:t>
            </w:r>
          </w:p>
        </w:tc>
        <w:tc>
          <w:tcPr>
            <w:tcW w:w="1256" w:type="dxa"/>
            <w:vAlign w:val="top"/>
          </w:tcPr>
          <w:p w14:paraId="6352C94D">
            <w:pPr>
              <w:pStyle w:val="39"/>
              <w:spacing w:before="123" w:line="183" w:lineRule="auto"/>
              <w:ind w:left="495"/>
              <w:rPr>
                <w:sz w:val="17"/>
                <w:szCs w:val="17"/>
              </w:rPr>
            </w:pPr>
            <w:r>
              <w:rPr>
                <w:spacing w:val="-3"/>
                <w:sz w:val="17"/>
                <w:szCs w:val="17"/>
              </w:rPr>
              <w:t>30</w:t>
            </w:r>
          </w:p>
        </w:tc>
        <w:tc>
          <w:tcPr>
            <w:tcW w:w="2124" w:type="dxa"/>
            <w:gridSpan w:val="2"/>
            <w:vAlign w:val="top"/>
          </w:tcPr>
          <w:p w14:paraId="27041DBC">
            <w:pPr>
              <w:pStyle w:val="39"/>
              <w:spacing w:before="123" w:line="183" w:lineRule="auto"/>
              <w:ind w:left="896"/>
              <w:rPr>
                <w:sz w:val="17"/>
                <w:szCs w:val="17"/>
              </w:rPr>
            </w:pPr>
            <w:r>
              <w:rPr>
                <w:spacing w:val="-3"/>
                <w:sz w:val="17"/>
                <w:szCs w:val="17"/>
              </w:rPr>
              <w:t>30</w:t>
            </w:r>
          </w:p>
        </w:tc>
        <w:tc>
          <w:tcPr>
            <w:tcW w:w="1530" w:type="dxa"/>
            <w:vAlign w:val="top"/>
          </w:tcPr>
          <w:p w14:paraId="55B93944">
            <w:pPr>
              <w:pStyle w:val="39"/>
              <w:spacing w:before="122" w:line="184" w:lineRule="auto"/>
              <w:ind w:left="98"/>
              <w:rPr>
                <w:sz w:val="17"/>
                <w:szCs w:val="17"/>
              </w:rPr>
            </w:pPr>
            <w:r>
              <w:rPr>
                <w:spacing w:val="-4"/>
                <w:sz w:val="17"/>
                <w:szCs w:val="17"/>
              </w:rPr>
              <w:t>100%</w:t>
            </w:r>
          </w:p>
        </w:tc>
      </w:tr>
      <w:tr w14:paraId="256049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30" w:type="dxa"/>
            <w:gridSpan w:val="3"/>
            <w:vMerge w:val="continue"/>
            <w:tcBorders>
              <w:top w:val="nil"/>
            </w:tcBorders>
            <w:vAlign w:val="top"/>
          </w:tcPr>
          <w:p w14:paraId="517271FA">
            <w:pPr>
              <w:rPr>
                <w:rFonts w:ascii="Arial"/>
                <w:sz w:val="21"/>
              </w:rPr>
            </w:pPr>
          </w:p>
        </w:tc>
        <w:tc>
          <w:tcPr>
            <w:tcW w:w="1480" w:type="dxa"/>
            <w:vAlign w:val="top"/>
          </w:tcPr>
          <w:p w14:paraId="02EFAEAE">
            <w:pPr>
              <w:pStyle w:val="39"/>
              <w:spacing w:before="70" w:line="220" w:lineRule="auto"/>
              <w:ind w:left="413"/>
              <w:rPr>
                <w:sz w:val="17"/>
                <w:szCs w:val="17"/>
              </w:rPr>
            </w:pPr>
            <w:r>
              <w:rPr>
                <w:spacing w:val="-2"/>
                <w:sz w:val="17"/>
                <w:szCs w:val="17"/>
              </w:rPr>
              <w:t>其他资金</w:t>
            </w:r>
          </w:p>
        </w:tc>
        <w:tc>
          <w:tcPr>
            <w:tcW w:w="1256" w:type="dxa"/>
            <w:vAlign w:val="top"/>
          </w:tcPr>
          <w:p w14:paraId="678B3CD5">
            <w:pPr>
              <w:rPr>
                <w:rFonts w:ascii="Arial"/>
                <w:sz w:val="21"/>
              </w:rPr>
            </w:pPr>
          </w:p>
        </w:tc>
        <w:tc>
          <w:tcPr>
            <w:tcW w:w="2124" w:type="dxa"/>
            <w:gridSpan w:val="2"/>
            <w:vAlign w:val="top"/>
          </w:tcPr>
          <w:p w14:paraId="36B1F839">
            <w:pPr>
              <w:rPr>
                <w:rFonts w:ascii="Arial"/>
                <w:sz w:val="21"/>
              </w:rPr>
            </w:pPr>
          </w:p>
        </w:tc>
        <w:tc>
          <w:tcPr>
            <w:tcW w:w="1530" w:type="dxa"/>
            <w:vAlign w:val="top"/>
          </w:tcPr>
          <w:p w14:paraId="48F02EF7">
            <w:pPr>
              <w:rPr>
                <w:rFonts w:ascii="Arial"/>
                <w:sz w:val="21"/>
              </w:rPr>
            </w:pPr>
          </w:p>
        </w:tc>
      </w:tr>
      <w:tr w14:paraId="07B6C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54" w:type="dxa"/>
            <w:vMerge w:val="restart"/>
            <w:tcBorders>
              <w:bottom w:val="nil"/>
            </w:tcBorders>
            <w:vAlign w:val="top"/>
          </w:tcPr>
          <w:p w14:paraId="11D37F9A">
            <w:pPr>
              <w:pStyle w:val="39"/>
              <w:spacing w:before="79" w:line="311" w:lineRule="auto"/>
              <w:ind w:left="115" w:right="86"/>
              <w:jc w:val="both"/>
              <w:rPr>
                <w:sz w:val="17"/>
                <w:szCs w:val="17"/>
              </w:rPr>
            </w:pPr>
            <w:r>
              <w:rPr>
                <w:spacing w:val="10"/>
                <w:sz w:val="17"/>
                <w:szCs w:val="17"/>
              </w:rPr>
              <w:t>总体目</w:t>
            </w:r>
            <w:r>
              <w:rPr>
                <w:spacing w:val="1"/>
                <w:sz w:val="17"/>
                <w:szCs w:val="17"/>
              </w:rPr>
              <w:t xml:space="preserve"> </w:t>
            </w:r>
            <w:r>
              <w:rPr>
                <w:spacing w:val="-3"/>
                <w:sz w:val="17"/>
                <w:szCs w:val="17"/>
              </w:rPr>
              <w:t>标完成</w:t>
            </w:r>
            <w:r>
              <w:rPr>
                <w:sz w:val="17"/>
                <w:szCs w:val="17"/>
              </w:rPr>
              <w:t xml:space="preserve"> </w:t>
            </w:r>
            <w:r>
              <w:rPr>
                <w:spacing w:val="36"/>
                <w:sz w:val="17"/>
                <w:szCs w:val="17"/>
              </w:rPr>
              <w:t>情况</w:t>
            </w:r>
          </w:p>
        </w:tc>
        <w:tc>
          <w:tcPr>
            <w:tcW w:w="4312" w:type="dxa"/>
            <w:gridSpan w:val="4"/>
            <w:vAlign w:val="top"/>
          </w:tcPr>
          <w:p w14:paraId="753A0C11">
            <w:pPr>
              <w:pStyle w:val="39"/>
              <w:spacing w:before="70" w:line="220" w:lineRule="auto"/>
              <w:ind w:left="1771"/>
              <w:rPr>
                <w:sz w:val="17"/>
                <w:szCs w:val="17"/>
              </w:rPr>
            </w:pPr>
            <w:r>
              <w:rPr>
                <w:spacing w:val="-3"/>
                <w:sz w:val="17"/>
                <w:szCs w:val="17"/>
              </w:rPr>
              <w:t>总体目标</w:t>
            </w:r>
          </w:p>
        </w:tc>
        <w:tc>
          <w:tcPr>
            <w:tcW w:w="3654" w:type="dxa"/>
            <w:gridSpan w:val="3"/>
            <w:vAlign w:val="top"/>
          </w:tcPr>
          <w:p w14:paraId="44D8301A">
            <w:pPr>
              <w:pStyle w:val="39"/>
              <w:spacing w:before="70" w:line="219" w:lineRule="auto"/>
              <w:ind w:left="1176"/>
              <w:rPr>
                <w:sz w:val="17"/>
                <w:szCs w:val="17"/>
              </w:rPr>
            </w:pPr>
            <w:r>
              <w:rPr>
                <w:spacing w:val="-1"/>
                <w:sz w:val="17"/>
                <w:szCs w:val="17"/>
              </w:rPr>
              <w:t>全年实际完成情况</w:t>
            </w:r>
          </w:p>
        </w:tc>
      </w:tr>
      <w:tr w14:paraId="64334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54" w:type="dxa"/>
            <w:vMerge w:val="continue"/>
            <w:tcBorders>
              <w:top w:val="nil"/>
            </w:tcBorders>
            <w:vAlign w:val="top"/>
          </w:tcPr>
          <w:p w14:paraId="4CBE1AF1">
            <w:pPr>
              <w:rPr>
                <w:rFonts w:ascii="Arial"/>
                <w:sz w:val="21"/>
              </w:rPr>
            </w:pPr>
          </w:p>
        </w:tc>
        <w:tc>
          <w:tcPr>
            <w:tcW w:w="4312" w:type="dxa"/>
            <w:gridSpan w:val="4"/>
            <w:vAlign w:val="top"/>
          </w:tcPr>
          <w:p w14:paraId="1E156EB7">
            <w:pPr>
              <w:pStyle w:val="39"/>
              <w:spacing w:before="29" w:line="320" w:lineRule="auto"/>
              <w:ind w:left="1770" w:right="60" w:hanging="1699"/>
              <w:rPr>
                <w:sz w:val="17"/>
                <w:szCs w:val="17"/>
              </w:rPr>
            </w:pPr>
            <w:r>
              <w:rPr>
                <w:sz w:val="17"/>
                <w:szCs w:val="17"/>
              </w:rPr>
              <w:t>投入30万元综合执法经费，保障执法大队(含超限站)的</w:t>
            </w:r>
            <w:r>
              <w:rPr>
                <w:spacing w:val="12"/>
                <w:sz w:val="17"/>
                <w:szCs w:val="17"/>
              </w:rPr>
              <w:t xml:space="preserve"> </w:t>
            </w:r>
            <w:r>
              <w:rPr>
                <w:spacing w:val="-2"/>
                <w:sz w:val="17"/>
                <w:szCs w:val="17"/>
              </w:rPr>
              <w:t>正常运转</w:t>
            </w:r>
          </w:p>
        </w:tc>
        <w:tc>
          <w:tcPr>
            <w:tcW w:w="3654" w:type="dxa"/>
            <w:gridSpan w:val="3"/>
            <w:vAlign w:val="top"/>
          </w:tcPr>
          <w:p w14:paraId="27DBFC0F">
            <w:pPr>
              <w:pStyle w:val="39"/>
              <w:spacing w:before="230" w:line="219" w:lineRule="auto"/>
              <w:ind w:left="926"/>
              <w:rPr>
                <w:sz w:val="17"/>
                <w:szCs w:val="17"/>
              </w:rPr>
            </w:pPr>
            <w:r>
              <w:rPr>
                <w:spacing w:val="-1"/>
                <w:sz w:val="17"/>
                <w:szCs w:val="17"/>
              </w:rPr>
              <w:t>按计划进度全额完成支付</w:t>
            </w:r>
          </w:p>
        </w:tc>
      </w:tr>
      <w:tr w14:paraId="79DCD6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54" w:type="dxa"/>
            <w:vMerge w:val="restart"/>
            <w:tcBorders>
              <w:bottom w:val="nil"/>
            </w:tcBorders>
            <w:textDirection w:val="tbRlV"/>
            <w:vAlign w:val="top"/>
          </w:tcPr>
          <w:p w14:paraId="6DA0DEB9">
            <w:pPr>
              <w:pStyle w:val="39"/>
              <w:spacing w:before="294" w:line="202" w:lineRule="auto"/>
              <w:ind w:left="1785"/>
              <w:rPr>
                <w:sz w:val="17"/>
                <w:szCs w:val="17"/>
              </w:rPr>
            </w:pPr>
            <w:r>
              <w:rPr>
                <w:sz w:val="17"/>
                <w:szCs w:val="17"/>
              </w:rPr>
              <w:t>绩效指标</w:t>
            </w:r>
          </w:p>
        </w:tc>
        <w:tc>
          <w:tcPr>
            <w:tcW w:w="549" w:type="dxa"/>
            <w:vAlign w:val="top"/>
          </w:tcPr>
          <w:p w14:paraId="1296E8FF">
            <w:pPr>
              <w:pStyle w:val="39"/>
              <w:spacing w:before="83" w:line="291" w:lineRule="auto"/>
              <w:ind w:left="91" w:right="116"/>
              <w:rPr>
                <w:sz w:val="17"/>
                <w:szCs w:val="17"/>
              </w:rPr>
            </w:pPr>
            <w:r>
              <w:rPr>
                <w:spacing w:val="-5"/>
                <w:sz w:val="17"/>
                <w:szCs w:val="17"/>
              </w:rPr>
              <w:t>一级</w:t>
            </w:r>
            <w:r>
              <w:rPr>
                <w:sz w:val="17"/>
                <w:szCs w:val="17"/>
              </w:rPr>
              <w:t xml:space="preserve"> </w:t>
            </w:r>
            <w:r>
              <w:rPr>
                <w:spacing w:val="-5"/>
                <w:sz w:val="17"/>
                <w:szCs w:val="17"/>
              </w:rPr>
              <w:t>指标</w:t>
            </w:r>
          </w:p>
        </w:tc>
        <w:tc>
          <w:tcPr>
            <w:tcW w:w="1027" w:type="dxa"/>
            <w:vAlign w:val="top"/>
          </w:tcPr>
          <w:p w14:paraId="74E1CA18">
            <w:pPr>
              <w:pStyle w:val="39"/>
              <w:spacing w:before="231" w:line="220" w:lineRule="auto"/>
              <w:ind w:left="122"/>
              <w:rPr>
                <w:sz w:val="17"/>
                <w:szCs w:val="17"/>
              </w:rPr>
            </w:pPr>
            <w:r>
              <w:rPr>
                <w:spacing w:val="-2"/>
                <w:sz w:val="17"/>
                <w:szCs w:val="17"/>
              </w:rPr>
              <w:t>二级指标</w:t>
            </w:r>
          </w:p>
        </w:tc>
        <w:tc>
          <w:tcPr>
            <w:tcW w:w="2736" w:type="dxa"/>
            <w:gridSpan w:val="2"/>
            <w:vAlign w:val="top"/>
          </w:tcPr>
          <w:p w14:paraId="1599E9B5">
            <w:pPr>
              <w:pStyle w:val="39"/>
              <w:spacing w:before="231" w:line="220" w:lineRule="auto"/>
              <w:ind w:left="1023"/>
              <w:rPr>
                <w:sz w:val="17"/>
                <w:szCs w:val="17"/>
              </w:rPr>
            </w:pPr>
            <w:r>
              <w:rPr>
                <w:spacing w:val="-2"/>
                <w:sz w:val="17"/>
                <w:szCs w:val="17"/>
              </w:rPr>
              <w:t>三级指标</w:t>
            </w:r>
          </w:p>
        </w:tc>
        <w:tc>
          <w:tcPr>
            <w:tcW w:w="1012" w:type="dxa"/>
            <w:vAlign w:val="top"/>
          </w:tcPr>
          <w:p w14:paraId="0F381867">
            <w:pPr>
              <w:pStyle w:val="39"/>
              <w:spacing w:before="231" w:line="219" w:lineRule="auto"/>
              <w:ind w:left="286"/>
              <w:rPr>
                <w:sz w:val="17"/>
                <w:szCs w:val="17"/>
              </w:rPr>
            </w:pPr>
            <w:r>
              <w:rPr>
                <w:spacing w:val="-2"/>
                <w:sz w:val="17"/>
                <w:szCs w:val="17"/>
              </w:rPr>
              <w:t>指标值</w:t>
            </w:r>
          </w:p>
        </w:tc>
        <w:tc>
          <w:tcPr>
            <w:tcW w:w="1112" w:type="dxa"/>
            <w:vAlign w:val="top"/>
          </w:tcPr>
          <w:p w14:paraId="746DFD40">
            <w:pPr>
              <w:pStyle w:val="39"/>
              <w:spacing w:before="41" w:line="219" w:lineRule="auto"/>
              <w:ind w:left="107"/>
              <w:rPr>
                <w:sz w:val="17"/>
                <w:szCs w:val="17"/>
              </w:rPr>
            </w:pPr>
            <w:r>
              <w:rPr>
                <w:spacing w:val="-2"/>
                <w:sz w:val="17"/>
                <w:szCs w:val="17"/>
              </w:rPr>
              <w:t>全年实际</w:t>
            </w:r>
          </w:p>
          <w:p w14:paraId="22D52B5D">
            <w:pPr>
              <w:pStyle w:val="39"/>
              <w:spacing w:before="128" w:line="219" w:lineRule="auto"/>
              <w:ind w:left="207"/>
              <w:rPr>
                <w:sz w:val="17"/>
                <w:szCs w:val="17"/>
              </w:rPr>
            </w:pPr>
            <w:r>
              <w:rPr>
                <w:spacing w:val="-2"/>
                <w:sz w:val="17"/>
                <w:szCs w:val="17"/>
              </w:rPr>
              <w:t>完成值</w:t>
            </w:r>
          </w:p>
        </w:tc>
        <w:tc>
          <w:tcPr>
            <w:tcW w:w="1530" w:type="dxa"/>
            <w:vAlign w:val="top"/>
          </w:tcPr>
          <w:p w14:paraId="2310E2A7">
            <w:pPr>
              <w:pStyle w:val="39"/>
              <w:spacing w:before="40" w:line="314" w:lineRule="auto"/>
              <w:ind w:left="788" w:right="114" w:hanging="680"/>
              <w:jc w:val="left"/>
              <w:rPr>
                <w:spacing w:val="-2"/>
                <w:sz w:val="17"/>
                <w:szCs w:val="17"/>
              </w:rPr>
            </w:pPr>
            <w:r>
              <w:rPr>
                <w:spacing w:val="-2"/>
                <w:sz w:val="17"/>
                <w:szCs w:val="17"/>
              </w:rPr>
              <w:t>未完成原因和改</w:t>
            </w:r>
          </w:p>
          <w:p w14:paraId="7E3C89A5">
            <w:pPr>
              <w:pStyle w:val="39"/>
              <w:spacing w:before="40" w:line="314" w:lineRule="auto"/>
              <w:ind w:left="788" w:right="114" w:hanging="680"/>
              <w:jc w:val="left"/>
              <w:rPr>
                <w:sz w:val="17"/>
                <w:szCs w:val="17"/>
              </w:rPr>
            </w:pPr>
            <w:r>
              <w:rPr>
                <w:spacing w:val="-2"/>
                <w:sz w:val="17"/>
                <w:szCs w:val="17"/>
              </w:rPr>
              <w:t>进措</w:t>
            </w:r>
            <w:r>
              <w:rPr>
                <w:sz w:val="17"/>
                <w:szCs w:val="17"/>
              </w:rPr>
              <w:t>施</w:t>
            </w:r>
          </w:p>
        </w:tc>
      </w:tr>
      <w:tr w14:paraId="00B11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54" w:type="dxa"/>
            <w:vMerge w:val="continue"/>
            <w:tcBorders>
              <w:top w:val="nil"/>
              <w:bottom w:val="nil"/>
            </w:tcBorders>
            <w:textDirection w:val="tbRlV"/>
            <w:vAlign w:val="top"/>
          </w:tcPr>
          <w:p w14:paraId="3C032FDB">
            <w:pPr>
              <w:rPr>
                <w:rFonts w:ascii="Arial"/>
                <w:sz w:val="21"/>
              </w:rPr>
            </w:pPr>
          </w:p>
        </w:tc>
        <w:tc>
          <w:tcPr>
            <w:tcW w:w="549" w:type="dxa"/>
            <w:vMerge w:val="restart"/>
            <w:tcBorders>
              <w:bottom w:val="nil"/>
            </w:tcBorders>
            <w:textDirection w:val="tbRlV"/>
            <w:vAlign w:val="top"/>
          </w:tcPr>
          <w:p w14:paraId="6BA15E9E">
            <w:pPr>
              <w:pStyle w:val="39"/>
              <w:spacing w:before="194" w:line="201" w:lineRule="auto"/>
              <w:ind w:left="436"/>
              <w:rPr>
                <w:sz w:val="17"/>
                <w:szCs w:val="17"/>
              </w:rPr>
            </w:pPr>
            <w:r>
              <w:rPr>
                <w:sz w:val="17"/>
                <w:szCs w:val="17"/>
              </w:rPr>
              <w:t>产</w:t>
            </w:r>
            <w:r>
              <w:rPr>
                <w:spacing w:val="65"/>
                <w:sz w:val="17"/>
                <w:szCs w:val="17"/>
              </w:rPr>
              <w:t xml:space="preserve"> </w:t>
            </w:r>
            <w:r>
              <w:rPr>
                <w:sz w:val="17"/>
                <w:szCs w:val="17"/>
              </w:rPr>
              <w:t>出</w:t>
            </w:r>
            <w:r>
              <w:rPr>
                <w:spacing w:val="65"/>
                <w:sz w:val="17"/>
                <w:szCs w:val="17"/>
              </w:rPr>
              <w:t xml:space="preserve"> </w:t>
            </w:r>
            <w:r>
              <w:rPr>
                <w:sz w:val="17"/>
                <w:szCs w:val="17"/>
              </w:rPr>
              <w:t>指</w:t>
            </w:r>
            <w:r>
              <w:rPr>
                <w:spacing w:val="66"/>
                <w:sz w:val="17"/>
                <w:szCs w:val="17"/>
              </w:rPr>
              <w:t xml:space="preserve"> </w:t>
            </w:r>
            <w:r>
              <w:rPr>
                <w:sz w:val="17"/>
                <w:szCs w:val="17"/>
              </w:rPr>
              <w:t>标</w:t>
            </w:r>
          </w:p>
        </w:tc>
        <w:tc>
          <w:tcPr>
            <w:tcW w:w="1027" w:type="dxa"/>
            <w:vAlign w:val="top"/>
          </w:tcPr>
          <w:p w14:paraId="5D36038C">
            <w:pPr>
              <w:pStyle w:val="39"/>
              <w:spacing w:before="72" w:line="219" w:lineRule="auto"/>
              <w:ind w:left="122"/>
              <w:rPr>
                <w:sz w:val="17"/>
                <w:szCs w:val="17"/>
              </w:rPr>
            </w:pPr>
            <w:r>
              <w:rPr>
                <w:spacing w:val="-2"/>
                <w:sz w:val="17"/>
                <w:szCs w:val="17"/>
              </w:rPr>
              <w:t>数量指标</w:t>
            </w:r>
          </w:p>
        </w:tc>
        <w:tc>
          <w:tcPr>
            <w:tcW w:w="2736" w:type="dxa"/>
            <w:gridSpan w:val="2"/>
            <w:vAlign w:val="top"/>
          </w:tcPr>
          <w:p w14:paraId="13D197BA">
            <w:pPr>
              <w:pStyle w:val="39"/>
              <w:spacing w:before="70" w:line="219" w:lineRule="auto"/>
              <w:ind w:left="83"/>
              <w:rPr>
                <w:sz w:val="17"/>
                <w:szCs w:val="17"/>
              </w:rPr>
            </w:pPr>
            <w:r>
              <w:rPr>
                <w:spacing w:val="2"/>
                <w:sz w:val="17"/>
                <w:szCs w:val="17"/>
              </w:rPr>
              <w:t>涉及综合执法机构个数(含超限站)</w:t>
            </w:r>
          </w:p>
        </w:tc>
        <w:tc>
          <w:tcPr>
            <w:tcW w:w="1012" w:type="dxa"/>
            <w:vAlign w:val="top"/>
          </w:tcPr>
          <w:p w14:paraId="48476BC2">
            <w:pPr>
              <w:pStyle w:val="39"/>
              <w:spacing w:before="114" w:line="184" w:lineRule="auto"/>
              <w:ind w:left="495"/>
              <w:rPr>
                <w:sz w:val="17"/>
                <w:szCs w:val="17"/>
              </w:rPr>
            </w:pPr>
            <w:r>
              <w:rPr>
                <w:sz w:val="17"/>
                <w:szCs w:val="17"/>
              </w:rPr>
              <w:t>1</w:t>
            </w:r>
          </w:p>
        </w:tc>
        <w:tc>
          <w:tcPr>
            <w:tcW w:w="1112" w:type="dxa"/>
            <w:vAlign w:val="top"/>
          </w:tcPr>
          <w:p w14:paraId="0E6105D7">
            <w:pPr>
              <w:pStyle w:val="39"/>
              <w:spacing w:before="114" w:line="184" w:lineRule="auto"/>
              <w:ind w:left="107"/>
              <w:rPr>
                <w:sz w:val="17"/>
                <w:szCs w:val="17"/>
              </w:rPr>
            </w:pPr>
            <w:r>
              <w:rPr>
                <w:sz w:val="17"/>
                <w:szCs w:val="17"/>
              </w:rPr>
              <w:t>1</w:t>
            </w:r>
          </w:p>
        </w:tc>
        <w:tc>
          <w:tcPr>
            <w:tcW w:w="1530" w:type="dxa"/>
            <w:vAlign w:val="top"/>
          </w:tcPr>
          <w:p w14:paraId="3E2F640D">
            <w:pPr>
              <w:rPr>
                <w:rFonts w:ascii="Arial"/>
                <w:sz w:val="21"/>
              </w:rPr>
            </w:pPr>
          </w:p>
        </w:tc>
      </w:tr>
      <w:tr w14:paraId="02ED4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754" w:type="dxa"/>
            <w:vMerge w:val="continue"/>
            <w:tcBorders>
              <w:top w:val="nil"/>
              <w:bottom w:val="nil"/>
            </w:tcBorders>
            <w:textDirection w:val="tbRlV"/>
            <w:vAlign w:val="top"/>
          </w:tcPr>
          <w:p w14:paraId="21ECC456">
            <w:pPr>
              <w:rPr>
                <w:rFonts w:ascii="Arial"/>
                <w:sz w:val="21"/>
              </w:rPr>
            </w:pPr>
          </w:p>
        </w:tc>
        <w:tc>
          <w:tcPr>
            <w:tcW w:w="549" w:type="dxa"/>
            <w:vMerge w:val="continue"/>
            <w:tcBorders>
              <w:top w:val="nil"/>
              <w:bottom w:val="nil"/>
            </w:tcBorders>
            <w:textDirection w:val="tbRlV"/>
            <w:vAlign w:val="top"/>
          </w:tcPr>
          <w:p w14:paraId="7EE58DBC">
            <w:pPr>
              <w:rPr>
                <w:rFonts w:ascii="Arial"/>
                <w:sz w:val="21"/>
              </w:rPr>
            </w:pPr>
          </w:p>
        </w:tc>
        <w:tc>
          <w:tcPr>
            <w:tcW w:w="1027" w:type="dxa"/>
            <w:vMerge w:val="restart"/>
            <w:tcBorders>
              <w:bottom w:val="nil"/>
            </w:tcBorders>
            <w:vAlign w:val="top"/>
          </w:tcPr>
          <w:p w14:paraId="4C07A861">
            <w:pPr>
              <w:pStyle w:val="39"/>
              <w:spacing w:before="243" w:line="220" w:lineRule="auto"/>
              <w:ind w:left="122"/>
              <w:rPr>
                <w:sz w:val="17"/>
                <w:szCs w:val="17"/>
              </w:rPr>
            </w:pPr>
            <w:r>
              <w:rPr>
                <w:spacing w:val="-2"/>
                <w:sz w:val="17"/>
                <w:szCs w:val="17"/>
              </w:rPr>
              <w:t>质量指标</w:t>
            </w:r>
          </w:p>
        </w:tc>
        <w:tc>
          <w:tcPr>
            <w:tcW w:w="2736" w:type="dxa"/>
            <w:gridSpan w:val="2"/>
            <w:vAlign w:val="top"/>
          </w:tcPr>
          <w:p w14:paraId="47D77B46">
            <w:pPr>
              <w:pStyle w:val="39"/>
              <w:spacing w:before="73" w:line="219" w:lineRule="auto"/>
              <w:ind w:left="763"/>
              <w:rPr>
                <w:sz w:val="17"/>
                <w:szCs w:val="17"/>
              </w:rPr>
            </w:pPr>
            <w:r>
              <w:rPr>
                <w:sz w:val="17"/>
                <w:szCs w:val="17"/>
              </w:rPr>
              <w:t>资金使用合规性</w:t>
            </w:r>
          </w:p>
        </w:tc>
        <w:tc>
          <w:tcPr>
            <w:tcW w:w="1012" w:type="dxa"/>
            <w:vAlign w:val="top"/>
          </w:tcPr>
          <w:p w14:paraId="2BD5EA58">
            <w:pPr>
              <w:pStyle w:val="39"/>
              <w:spacing w:before="115" w:line="184" w:lineRule="auto"/>
              <w:ind w:left="366"/>
              <w:rPr>
                <w:sz w:val="17"/>
                <w:szCs w:val="17"/>
              </w:rPr>
            </w:pPr>
            <w:r>
              <w:rPr>
                <w:spacing w:val="-4"/>
                <w:sz w:val="17"/>
                <w:szCs w:val="17"/>
              </w:rPr>
              <w:t>100%</w:t>
            </w:r>
          </w:p>
        </w:tc>
        <w:tc>
          <w:tcPr>
            <w:tcW w:w="1112" w:type="dxa"/>
            <w:vAlign w:val="top"/>
          </w:tcPr>
          <w:p w14:paraId="2C0B5F66">
            <w:pPr>
              <w:pStyle w:val="39"/>
              <w:spacing w:before="115" w:line="184" w:lineRule="auto"/>
              <w:ind w:left="107"/>
              <w:rPr>
                <w:sz w:val="17"/>
                <w:szCs w:val="17"/>
              </w:rPr>
            </w:pPr>
            <w:r>
              <w:rPr>
                <w:spacing w:val="-4"/>
                <w:sz w:val="17"/>
                <w:szCs w:val="17"/>
              </w:rPr>
              <w:t>100%</w:t>
            </w:r>
          </w:p>
        </w:tc>
        <w:tc>
          <w:tcPr>
            <w:tcW w:w="1530" w:type="dxa"/>
            <w:vAlign w:val="top"/>
          </w:tcPr>
          <w:p w14:paraId="1005F0DF">
            <w:pPr>
              <w:rPr>
                <w:rFonts w:ascii="Arial"/>
                <w:sz w:val="21"/>
              </w:rPr>
            </w:pPr>
          </w:p>
        </w:tc>
      </w:tr>
      <w:tr w14:paraId="635744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754" w:type="dxa"/>
            <w:vMerge w:val="continue"/>
            <w:tcBorders>
              <w:top w:val="nil"/>
              <w:bottom w:val="nil"/>
            </w:tcBorders>
            <w:textDirection w:val="tbRlV"/>
            <w:vAlign w:val="top"/>
          </w:tcPr>
          <w:p w14:paraId="577C5352">
            <w:pPr>
              <w:rPr>
                <w:rFonts w:ascii="Arial"/>
                <w:sz w:val="21"/>
              </w:rPr>
            </w:pPr>
          </w:p>
        </w:tc>
        <w:tc>
          <w:tcPr>
            <w:tcW w:w="549" w:type="dxa"/>
            <w:vMerge w:val="continue"/>
            <w:tcBorders>
              <w:top w:val="nil"/>
              <w:bottom w:val="nil"/>
            </w:tcBorders>
            <w:textDirection w:val="tbRlV"/>
            <w:vAlign w:val="top"/>
          </w:tcPr>
          <w:p w14:paraId="5F6986D3">
            <w:pPr>
              <w:rPr>
                <w:rFonts w:ascii="Arial"/>
                <w:sz w:val="21"/>
              </w:rPr>
            </w:pPr>
          </w:p>
        </w:tc>
        <w:tc>
          <w:tcPr>
            <w:tcW w:w="1027" w:type="dxa"/>
            <w:vMerge w:val="continue"/>
            <w:tcBorders>
              <w:top w:val="nil"/>
            </w:tcBorders>
            <w:vAlign w:val="top"/>
          </w:tcPr>
          <w:p w14:paraId="4C8CE710">
            <w:pPr>
              <w:rPr>
                <w:rFonts w:ascii="Arial"/>
                <w:sz w:val="21"/>
              </w:rPr>
            </w:pPr>
          </w:p>
        </w:tc>
        <w:tc>
          <w:tcPr>
            <w:tcW w:w="2736" w:type="dxa"/>
            <w:gridSpan w:val="2"/>
            <w:vAlign w:val="top"/>
          </w:tcPr>
          <w:p w14:paraId="3FCCCF5D">
            <w:pPr>
              <w:pStyle w:val="39"/>
              <w:spacing w:before="83" w:line="219" w:lineRule="auto"/>
              <w:ind w:left="933"/>
              <w:rPr>
                <w:sz w:val="17"/>
                <w:szCs w:val="17"/>
              </w:rPr>
            </w:pPr>
            <w:r>
              <w:rPr>
                <w:spacing w:val="-1"/>
                <w:sz w:val="17"/>
                <w:szCs w:val="17"/>
              </w:rPr>
              <w:t>验收合格率</w:t>
            </w:r>
          </w:p>
        </w:tc>
        <w:tc>
          <w:tcPr>
            <w:tcW w:w="1012" w:type="dxa"/>
            <w:vAlign w:val="top"/>
          </w:tcPr>
          <w:p w14:paraId="032031EB">
            <w:pPr>
              <w:pStyle w:val="39"/>
              <w:spacing w:before="125" w:line="184" w:lineRule="auto"/>
              <w:ind w:left="366"/>
              <w:rPr>
                <w:sz w:val="17"/>
                <w:szCs w:val="17"/>
              </w:rPr>
            </w:pPr>
            <w:r>
              <w:rPr>
                <w:spacing w:val="-4"/>
                <w:sz w:val="17"/>
                <w:szCs w:val="17"/>
              </w:rPr>
              <w:t>100%</w:t>
            </w:r>
          </w:p>
        </w:tc>
        <w:tc>
          <w:tcPr>
            <w:tcW w:w="1112" w:type="dxa"/>
            <w:vAlign w:val="top"/>
          </w:tcPr>
          <w:p w14:paraId="5C449B8D">
            <w:pPr>
              <w:pStyle w:val="39"/>
              <w:spacing w:before="125" w:line="184" w:lineRule="auto"/>
              <w:ind w:left="107"/>
              <w:rPr>
                <w:sz w:val="17"/>
                <w:szCs w:val="17"/>
              </w:rPr>
            </w:pPr>
            <w:r>
              <w:rPr>
                <w:spacing w:val="-4"/>
                <w:sz w:val="17"/>
                <w:szCs w:val="17"/>
              </w:rPr>
              <w:t>100%</w:t>
            </w:r>
          </w:p>
        </w:tc>
        <w:tc>
          <w:tcPr>
            <w:tcW w:w="1530" w:type="dxa"/>
            <w:vAlign w:val="top"/>
          </w:tcPr>
          <w:p w14:paraId="133F9CDB">
            <w:pPr>
              <w:rPr>
                <w:rFonts w:ascii="Arial"/>
                <w:sz w:val="21"/>
              </w:rPr>
            </w:pPr>
          </w:p>
        </w:tc>
      </w:tr>
      <w:tr w14:paraId="5B7205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54" w:type="dxa"/>
            <w:vMerge w:val="continue"/>
            <w:tcBorders>
              <w:top w:val="nil"/>
              <w:bottom w:val="nil"/>
            </w:tcBorders>
            <w:textDirection w:val="tbRlV"/>
            <w:vAlign w:val="top"/>
          </w:tcPr>
          <w:p w14:paraId="01D595B0">
            <w:pPr>
              <w:rPr>
                <w:rFonts w:ascii="Arial"/>
                <w:sz w:val="21"/>
              </w:rPr>
            </w:pPr>
          </w:p>
        </w:tc>
        <w:tc>
          <w:tcPr>
            <w:tcW w:w="549" w:type="dxa"/>
            <w:vMerge w:val="continue"/>
            <w:tcBorders>
              <w:top w:val="nil"/>
              <w:bottom w:val="nil"/>
            </w:tcBorders>
            <w:textDirection w:val="tbRlV"/>
            <w:vAlign w:val="top"/>
          </w:tcPr>
          <w:p w14:paraId="1B4AF436">
            <w:pPr>
              <w:rPr>
                <w:rFonts w:ascii="Arial"/>
                <w:sz w:val="21"/>
              </w:rPr>
            </w:pPr>
          </w:p>
        </w:tc>
        <w:tc>
          <w:tcPr>
            <w:tcW w:w="1027" w:type="dxa"/>
            <w:vMerge w:val="restart"/>
            <w:tcBorders>
              <w:bottom w:val="nil"/>
            </w:tcBorders>
            <w:vAlign w:val="top"/>
          </w:tcPr>
          <w:p w14:paraId="55909DDA">
            <w:pPr>
              <w:pStyle w:val="39"/>
              <w:spacing w:before="233" w:line="220" w:lineRule="auto"/>
              <w:ind w:left="122"/>
              <w:rPr>
                <w:sz w:val="17"/>
                <w:szCs w:val="17"/>
              </w:rPr>
            </w:pPr>
            <w:r>
              <w:rPr>
                <w:spacing w:val="1"/>
                <w:sz w:val="17"/>
                <w:szCs w:val="17"/>
              </w:rPr>
              <w:t>时效指标</w:t>
            </w:r>
          </w:p>
        </w:tc>
        <w:tc>
          <w:tcPr>
            <w:tcW w:w="2736" w:type="dxa"/>
            <w:gridSpan w:val="2"/>
            <w:vAlign w:val="top"/>
          </w:tcPr>
          <w:p w14:paraId="2C094BEA">
            <w:pPr>
              <w:pStyle w:val="39"/>
              <w:spacing w:before="73" w:line="219" w:lineRule="auto"/>
              <w:ind w:left="683"/>
              <w:rPr>
                <w:sz w:val="17"/>
                <w:szCs w:val="17"/>
              </w:rPr>
            </w:pPr>
            <w:r>
              <w:rPr>
                <w:spacing w:val="1"/>
                <w:sz w:val="17"/>
                <w:szCs w:val="17"/>
              </w:rPr>
              <w:t>项目完成时间节点</w:t>
            </w:r>
          </w:p>
        </w:tc>
        <w:tc>
          <w:tcPr>
            <w:tcW w:w="1012" w:type="dxa"/>
            <w:vAlign w:val="top"/>
          </w:tcPr>
          <w:p w14:paraId="54AA82B0">
            <w:pPr>
              <w:pStyle w:val="39"/>
              <w:spacing w:before="73" w:line="219" w:lineRule="auto"/>
              <w:ind w:left="406"/>
              <w:rPr>
                <w:sz w:val="17"/>
                <w:szCs w:val="17"/>
              </w:rPr>
            </w:pPr>
            <w:r>
              <w:rPr>
                <w:spacing w:val="6"/>
                <w:sz w:val="17"/>
                <w:szCs w:val="17"/>
              </w:rPr>
              <w:t>1年</w:t>
            </w:r>
          </w:p>
        </w:tc>
        <w:tc>
          <w:tcPr>
            <w:tcW w:w="1112" w:type="dxa"/>
            <w:vAlign w:val="top"/>
          </w:tcPr>
          <w:p w14:paraId="58DF15BA">
            <w:pPr>
              <w:pStyle w:val="39"/>
              <w:spacing w:before="73" w:line="219" w:lineRule="auto"/>
              <w:ind w:left="107"/>
              <w:rPr>
                <w:sz w:val="17"/>
                <w:szCs w:val="17"/>
              </w:rPr>
            </w:pPr>
            <w:r>
              <w:rPr>
                <w:spacing w:val="1"/>
                <w:sz w:val="17"/>
                <w:szCs w:val="17"/>
              </w:rPr>
              <w:t>1年</w:t>
            </w:r>
          </w:p>
        </w:tc>
        <w:tc>
          <w:tcPr>
            <w:tcW w:w="1530" w:type="dxa"/>
            <w:vAlign w:val="top"/>
          </w:tcPr>
          <w:p w14:paraId="153B628A">
            <w:pPr>
              <w:rPr>
                <w:rFonts w:ascii="Arial"/>
                <w:sz w:val="21"/>
              </w:rPr>
            </w:pPr>
          </w:p>
        </w:tc>
      </w:tr>
      <w:tr w14:paraId="6FB0BD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trPr>
        <w:tc>
          <w:tcPr>
            <w:tcW w:w="754" w:type="dxa"/>
            <w:vMerge w:val="continue"/>
            <w:tcBorders>
              <w:top w:val="nil"/>
              <w:bottom w:val="nil"/>
            </w:tcBorders>
            <w:textDirection w:val="tbRlV"/>
            <w:vAlign w:val="top"/>
          </w:tcPr>
          <w:p w14:paraId="247ADBC0">
            <w:pPr>
              <w:rPr>
                <w:rFonts w:ascii="Arial"/>
                <w:sz w:val="21"/>
              </w:rPr>
            </w:pPr>
          </w:p>
        </w:tc>
        <w:tc>
          <w:tcPr>
            <w:tcW w:w="549" w:type="dxa"/>
            <w:vMerge w:val="continue"/>
            <w:tcBorders>
              <w:top w:val="nil"/>
              <w:bottom w:val="nil"/>
            </w:tcBorders>
            <w:textDirection w:val="tbRlV"/>
            <w:vAlign w:val="top"/>
          </w:tcPr>
          <w:p w14:paraId="3C5012F8">
            <w:pPr>
              <w:rPr>
                <w:rFonts w:ascii="Arial"/>
                <w:sz w:val="21"/>
              </w:rPr>
            </w:pPr>
          </w:p>
        </w:tc>
        <w:tc>
          <w:tcPr>
            <w:tcW w:w="1027" w:type="dxa"/>
            <w:vMerge w:val="continue"/>
            <w:tcBorders>
              <w:top w:val="nil"/>
            </w:tcBorders>
            <w:vAlign w:val="top"/>
          </w:tcPr>
          <w:p w14:paraId="13E65715">
            <w:pPr>
              <w:rPr>
                <w:rFonts w:ascii="Arial"/>
                <w:sz w:val="21"/>
              </w:rPr>
            </w:pPr>
          </w:p>
        </w:tc>
        <w:tc>
          <w:tcPr>
            <w:tcW w:w="2736" w:type="dxa"/>
            <w:gridSpan w:val="2"/>
            <w:vAlign w:val="top"/>
          </w:tcPr>
          <w:p w14:paraId="490CAECD">
            <w:pPr>
              <w:pStyle w:val="39"/>
              <w:spacing w:before="73" w:line="219" w:lineRule="auto"/>
              <w:ind w:left="683"/>
              <w:rPr>
                <w:sz w:val="17"/>
                <w:szCs w:val="17"/>
              </w:rPr>
            </w:pPr>
            <w:r>
              <w:rPr>
                <w:spacing w:val="-1"/>
                <w:sz w:val="17"/>
                <w:szCs w:val="17"/>
              </w:rPr>
              <w:t>工作经费支付周期</w:t>
            </w:r>
          </w:p>
        </w:tc>
        <w:tc>
          <w:tcPr>
            <w:tcW w:w="1012" w:type="dxa"/>
            <w:vAlign w:val="top"/>
          </w:tcPr>
          <w:p w14:paraId="4116E67F">
            <w:pPr>
              <w:pStyle w:val="39"/>
              <w:spacing w:before="73" w:line="219" w:lineRule="auto"/>
              <w:ind w:left="326"/>
              <w:rPr>
                <w:sz w:val="17"/>
                <w:szCs w:val="17"/>
              </w:rPr>
            </w:pPr>
            <w:r>
              <w:rPr>
                <w:spacing w:val="9"/>
                <w:sz w:val="17"/>
                <w:szCs w:val="17"/>
              </w:rPr>
              <w:t>1个月</w:t>
            </w:r>
          </w:p>
        </w:tc>
        <w:tc>
          <w:tcPr>
            <w:tcW w:w="1112" w:type="dxa"/>
            <w:vAlign w:val="top"/>
          </w:tcPr>
          <w:p w14:paraId="270D68CA">
            <w:pPr>
              <w:pStyle w:val="39"/>
              <w:spacing w:before="73" w:line="219" w:lineRule="auto"/>
              <w:ind w:left="107"/>
              <w:rPr>
                <w:sz w:val="17"/>
                <w:szCs w:val="17"/>
              </w:rPr>
            </w:pPr>
            <w:r>
              <w:rPr>
                <w:spacing w:val="9"/>
                <w:sz w:val="17"/>
                <w:szCs w:val="17"/>
              </w:rPr>
              <w:t>1个月</w:t>
            </w:r>
          </w:p>
        </w:tc>
        <w:tc>
          <w:tcPr>
            <w:tcW w:w="1530" w:type="dxa"/>
            <w:vAlign w:val="top"/>
          </w:tcPr>
          <w:p w14:paraId="261BB026">
            <w:pPr>
              <w:rPr>
                <w:rFonts w:ascii="Arial"/>
                <w:sz w:val="21"/>
              </w:rPr>
            </w:pPr>
          </w:p>
        </w:tc>
      </w:tr>
      <w:tr w14:paraId="7CC167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754" w:type="dxa"/>
            <w:vMerge w:val="continue"/>
            <w:tcBorders>
              <w:top w:val="nil"/>
              <w:bottom w:val="nil"/>
            </w:tcBorders>
            <w:textDirection w:val="tbRlV"/>
            <w:vAlign w:val="top"/>
          </w:tcPr>
          <w:p w14:paraId="74F96158">
            <w:pPr>
              <w:rPr>
                <w:rFonts w:ascii="Arial"/>
                <w:sz w:val="21"/>
              </w:rPr>
            </w:pPr>
          </w:p>
        </w:tc>
        <w:tc>
          <w:tcPr>
            <w:tcW w:w="549" w:type="dxa"/>
            <w:vMerge w:val="continue"/>
            <w:tcBorders>
              <w:top w:val="nil"/>
            </w:tcBorders>
            <w:textDirection w:val="tbRlV"/>
            <w:vAlign w:val="top"/>
          </w:tcPr>
          <w:p w14:paraId="3D835C1D">
            <w:pPr>
              <w:rPr>
                <w:rFonts w:ascii="Arial"/>
                <w:sz w:val="21"/>
              </w:rPr>
            </w:pPr>
          </w:p>
        </w:tc>
        <w:tc>
          <w:tcPr>
            <w:tcW w:w="1027" w:type="dxa"/>
            <w:vAlign w:val="top"/>
          </w:tcPr>
          <w:p w14:paraId="37451B4E">
            <w:pPr>
              <w:pStyle w:val="39"/>
              <w:spacing w:before="132" w:line="219" w:lineRule="auto"/>
              <w:ind w:left="122"/>
              <w:rPr>
                <w:sz w:val="17"/>
                <w:szCs w:val="17"/>
              </w:rPr>
            </w:pPr>
            <w:r>
              <w:rPr>
                <w:spacing w:val="-2"/>
                <w:sz w:val="17"/>
                <w:szCs w:val="17"/>
              </w:rPr>
              <w:t>成本指标</w:t>
            </w:r>
          </w:p>
        </w:tc>
        <w:tc>
          <w:tcPr>
            <w:tcW w:w="2736" w:type="dxa"/>
            <w:gridSpan w:val="2"/>
            <w:vAlign w:val="top"/>
          </w:tcPr>
          <w:p w14:paraId="55267A84">
            <w:pPr>
              <w:pStyle w:val="39"/>
              <w:spacing w:before="132" w:line="219" w:lineRule="auto"/>
              <w:ind w:left="253"/>
              <w:rPr>
                <w:sz w:val="17"/>
                <w:szCs w:val="17"/>
              </w:rPr>
            </w:pPr>
            <w:r>
              <w:rPr>
                <w:spacing w:val="2"/>
                <w:sz w:val="17"/>
                <w:szCs w:val="17"/>
              </w:rPr>
              <w:t>综合执法机构经费(含超限站)</w:t>
            </w:r>
          </w:p>
        </w:tc>
        <w:tc>
          <w:tcPr>
            <w:tcW w:w="1012" w:type="dxa"/>
            <w:vAlign w:val="top"/>
          </w:tcPr>
          <w:p w14:paraId="39C8E129">
            <w:pPr>
              <w:pStyle w:val="39"/>
              <w:spacing w:before="134" w:line="220" w:lineRule="auto"/>
              <w:ind w:left="286"/>
              <w:rPr>
                <w:sz w:val="17"/>
                <w:szCs w:val="17"/>
              </w:rPr>
            </w:pPr>
            <w:r>
              <w:rPr>
                <w:spacing w:val="-2"/>
                <w:sz w:val="17"/>
                <w:szCs w:val="17"/>
              </w:rPr>
              <w:t>30万元</w:t>
            </w:r>
          </w:p>
        </w:tc>
        <w:tc>
          <w:tcPr>
            <w:tcW w:w="1112" w:type="dxa"/>
            <w:vAlign w:val="top"/>
          </w:tcPr>
          <w:p w14:paraId="4BBC5E04">
            <w:pPr>
              <w:pStyle w:val="39"/>
              <w:spacing w:before="134" w:line="220" w:lineRule="auto"/>
              <w:ind w:left="107"/>
              <w:rPr>
                <w:sz w:val="17"/>
                <w:szCs w:val="17"/>
              </w:rPr>
            </w:pPr>
            <w:r>
              <w:rPr>
                <w:spacing w:val="-2"/>
                <w:sz w:val="17"/>
                <w:szCs w:val="17"/>
              </w:rPr>
              <w:t>30万元</w:t>
            </w:r>
          </w:p>
        </w:tc>
        <w:tc>
          <w:tcPr>
            <w:tcW w:w="1530" w:type="dxa"/>
            <w:vAlign w:val="top"/>
          </w:tcPr>
          <w:p w14:paraId="603B8759">
            <w:pPr>
              <w:rPr>
                <w:rFonts w:ascii="Arial"/>
                <w:sz w:val="21"/>
              </w:rPr>
            </w:pPr>
          </w:p>
        </w:tc>
      </w:tr>
      <w:tr w14:paraId="1B48C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9" w:hRule="atLeast"/>
        </w:trPr>
        <w:tc>
          <w:tcPr>
            <w:tcW w:w="754" w:type="dxa"/>
            <w:vMerge w:val="continue"/>
            <w:tcBorders>
              <w:top w:val="nil"/>
              <w:bottom w:val="nil"/>
            </w:tcBorders>
            <w:textDirection w:val="tbRlV"/>
            <w:vAlign w:val="top"/>
          </w:tcPr>
          <w:p w14:paraId="5F32EB37">
            <w:pPr>
              <w:rPr>
                <w:rFonts w:ascii="Arial"/>
                <w:sz w:val="21"/>
              </w:rPr>
            </w:pPr>
          </w:p>
        </w:tc>
        <w:tc>
          <w:tcPr>
            <w:tcW w:w="549" w:type="dxa"/>
            <w:vMerge w:val="restart"/>
            <w:tcBorders>
              <w:bottom w:val="nil"/>
            </w:tcBorders>
            <w:vAlign w:val="top"/>
          </w:tcPr>
          <w:p w14:paraId="636EBA07">
            <w:pPr>
              <w:pStyle w:val="39"/>
              <w:spacing w:before="182" w:line="291" w:lineRule="auto"/>
              <w:ind w:left="93" w:right="114"/>
              <w:rPr>
                <w:sz w:val="17"/>
                <w:szCs w:val="17"/>
              </w:rPr>
            </w:pPr>
            <w:r>
              <w:rPr>
                <w:b/>
                <w:bCs/>
                <w:spacing w:val="-8"/>
                <w:sz w:val="17"/>
                <w:szCs w:val="17"/>
              </w:rPr>
              <w:t>效益</w:t>
            </w:r>
            <w:r>
              <w:rPr>
                <w:sz w:val="17"/>
                <w:szCs w:val="17"/>
              </w:rPr>
              <w:t xml:space="preserve"> </w:t>
            </w:r>
            <w:r>
              <w:rPr>
                <w:b/>
                <w:bCs/>
                <w:spacing w:val="-7"/>
                <w:sz w:val="17"/>
                <w:szCs w:val="17"/>
              </w:rPr>
              <w:t>指标</w:t>
            </w:r>
          </w:p>
        </w:tc>
        <w:tc>
          <w:tcPr>
            <w:tcW w:w="1027" w:type="dxa"/>
            <w:vMerge w:val="restart"/>
            <w:tcBorders>
              <w:bottom w:val="nil"/>
            </w:tcBorders>
            <w:vAlign w:val="center"/>
          </w:tcPr>
          <w:p w14:paraId="590C55B9">
            <w:pPr>
              <w:pStyle w:val="39"/>
              <w:spacing w:before="262" w:line="347" w:lineRule="auto"/>
              <w:ind w:left="292" w:right="144" w:hanging="170"/>
              <w:jc w:val="center"/>
              <w:rPr>
                <w:sz w:val="17"/>
                <w:szCs w:val="17"/>
              </w:rPr>
            </w:pPr>
            <w:r>
              <w:rPr>
                <w:spacing w:val="-2"/>
                <w:sz w:val="17"/>
                <w:szCs w:val="17"/>
              </w:rPr>
              <w:t>社会效益</w:t>
            </w:r>
            <w:r>
              <w:rPr>
                <w:sz w:val="17"/>
                <w:szCs w:val="17"/>
              </w:rPr>
              <w:t xml:space="preserve"> </w:t>
            </w:r>
            <w:r>
              <w:rPr>
                <w:spacing w:val="-3"/>
                <w:sz w:val="17"/>
                <w:szCs w:val="17"/>
              </w:rPr>
              <w:t>指标</w:t>
            </w:r>
          </w:p>
        </w:tc>
        <w:tc>
          <w:tcPr>
            <w:tcW w:w="2736" w:type="dxa"/>
            <w:gridSpan w:val="2"/>
            <w:vAlign w:val="top"/>
          </w:tcPr>
          <w:p w14:paraId="024501C3">
            <w:pPr>
              <w:pStyle w:val="39"/>
              <w:spacing w:before="144" w:line="219" w:lineRule="auto"/>
              <w:ind w:left="763"/>
              <w:rPr>
                <w:sz w:val="17"/>
                <w:szCs w:val="17"/>
              </w:rPr>
            </w:pPr>
            <w:r>
              <w:rPr>
                <w:spacing w:val="-1"/>
                <w:sz w:val="17"/>
                <w:szCs w:val="17"/>
              </w:rPr>
              <w:t>减少事故发生率</w:t>
            </w:r>
          </w:p>
        </w:tc>
        <w:tc>
          <w:tcPr>
            <w:tcW w:w="1012" w:type="dxa"/>
            <w:vAlign w:val="top"/>
          </w:tcPr>
          <w:p w14:paraId="799BB6BB">
            <w:pPr>
              <w:pStyle w:val="39"/>
              <w:spacing w:before="160" w:line="237" w:lineRule="auto"/>
              <w:ind w:left="326"/>
              <w:rPr>
                <w:sz w:val="17"/>
                <w:szCs w:val="17"/>
              </w:rPr>
            </w:pPr>
            <w:r>
              <w:rPr>
                <w:spacing w:val="-5"/>
                <w:sz w:val="17"/>
                <w:szCs w:val="17"/>
              </w:rPr>
              <w:t>≥90%</w:t>
            </w:r>
          </w:p>
        </w:tc>
        <w:tc>
          <w:tcPr>
            <w:tcW w:w="1112" w:type="dxa"/>
            <w:vAlign w:val="top"/>
          </w:tcPr>
          <w:p w14:paraId="45D77420">
            <w:pPr>
              <w:pStyle w:val="39"/>
              <w:spacing w:before="160" w:line="237" w:lineRule="auto"/>
              <w:ind w:left="107"/>
              <w:rPr>
                <w:sz w:val="17"/>
                <w:szCs w:val="17"/>
              </w:rPr>
            </w:pPr>
            <w:r>
              <w:rPr>
                <w:spacing w:val="-5"/>
                <w:sz w:val="17"/>
                <w:szCs w:val="17"/>
              </w:rPr>
              <w:t>≥90%</w:t>
            </w:r>
          </w:p>
        </w:tc>
        <w:tc>
          <w:tcPr>
            <w:tcW w:w="1530" w:type="dxa"/>
            <w:vAlign w:val="top"/>
          </w:tcPr>
          <w:p w14:paraId="1938931D">
            <w:pPr>
              <w:rPr>
                <w:rFonts w:ascii="Arial"/>
                <w:sz w:val="21"/>
              </w:rPr>
            </w:pPr>
          </w:p>
        </w:tc>
      </w:tr>
      <w:tr w14:paraId="5599E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754" w:type="dxa"/>
            <w:vMerge w:val="continue"/>
            <w:tcBorders>
              <w:top w:val="nil"/>
              <w:bottom w:val="nil"/>
            </w:tcBorders>
            <w:textDirection w:val="tbRlV"/>
            <w:vAlign w:val="top"/>
          </w:tcPr>
          <w:p w14:paraId="23D9D040">
            <w:pPr>
              <w:rPr>
                <w:rFonts w:ascii="Arial"/>
                <w:sz w:val="21"/>
              </w:rPr>
            </w:pPr>
          </w:p>
        </w:tc>
        <w:tc>
          <w:tcPr>
            <w:tcW w:w="549" w:type="dxa"/>
            <w:vMerge w:val="continue"/>
            <w:tcBorders>
              <w:top w:val="nil"/>
            </w:tcBorders>
            <w:vAlign w:val="top"/>
          </w:tcPr>
          <w:p w14:paraId="6B20930D">
            <w:pPr>
              <w:rPr>
                <w:rFonts w:ascii="Arial"/>
                <w:sz w:val="21"/>
              </w:rPr>
            </w:pPr>
          </w:p>
        </w:tc>
        <w:tc>
          <w:tcPr>
            <w:tcW w:w="1027" w:type="dxa"/>
            <w:vMerge w:val="continue"/>
            <w:tcBorders>
              <w:top w:val="nil"/>
            </w:tcBorders>
            <w:vAlign w:val="center"/>
          </w:tcPr>
          <w:p w14:paraId="2920B8EA">
            <w:pPr>
              <w:jc w:val="center"/>
              <w:rPr>
                <w:rFonts w:ascii="Arial"/>
                <w:sz w:val="21"/>
              </w:rPr>
            </w:pPr>
          </w:p>
        </w:tc>
        <w:tc>
          <w:tcPr>
            <w:tcW w:w="2736" w:type="dxa"/>
            <w:gridSpan w:val="2"/>
            <w:vAlign w:val="top"/>
          </w:tcPr>
          <w:p w14:paraId="180CFB25">
            <w:pPr>
              <w:pStyle w:val="39"/>
              <w:spacing w:before="193" w:line="219" w:lineRule="auto"/>
              <w:ind w:left="513"/>
              <w:rPr>
                <w:sz w:val="17"/>
                <w:szCs w:val="17"/>
              </w:rPr>
            </w:pPr>
            <w:r>
              <w:rPr>
                <w:spacing w:val="-1"/>
                <w:sz w:val="17"/>
                <w:szCs w:val="17"/>
              </w:rPr>
              <w:t>提升货车司机安全意识</w:t>
            </w:r>
          </w:p>
        </w:tc>
        <w:tc>
          <w:tcPr>
            <w:tcW w:w="1012" w:type="dxa"/>
            <w:vAlign w:val="top"/>
          </w:tcPr>
          <w:p w14:paraId="5926A1BE">
            <w:pPr>
              <w:pStyle w:val="39"/>
              <w:spacing w:before="195" w:line="219" w:lineRule="auto"/>
              <w:ind w:left="455"/>
              <w:rPr>
                <w:sz w:val="17"/>
                <w:szCs w:val="17"/>
              </w:rPr>
            </w:pPr>
            <w:r>
              <w:rPr>
                <w:sz w:val="17"/>
                <w:szCs w:val="17"/>
              </w:rPr>
              <w:t>优</w:t>
            </w:r>
          </w:p>
        </w:tc>
        <w:tc>
          <w:tcPr>
            <w:tcW w:w="1112" w:type="dxa"/>
            <w:vAlign w:val="top"/>
          </w:tcPr>
          <w:p w14:paraId="6867F18C">
            <w:pPr>
              <w:pStyle w:val="39"/>
              <w:spacing w:before="195" w:line="219" w:lineRule="auto"/>
              <w:ind w:left="367"/>
              <w:rPr>
                <w:sz w:val="17"/>
                <w:szCs w:val="17"/>
              </w:rPr>
            </w:pPr>
            <w:r>
              <w:rPr>
                <w:sz w:val="17"/>
                <w:szCs w:val="17"/>
              </w:rPr>
              <w:t>优</w:t>
            </w:r>
          </w:p>
        </w:tc>
        <w:tc>
          <w:tcPr>
            <w:tcW w:w="1530" w:type="dxa"/>
            <w:vAlign w:val="top"/>
          </w:tcPr>
          <w:p w14:paraId="0FD4716E">
            <w:pPr>
              <w:rPr>
                <w:rFonts w:ascii="Arial"/>
                <w:sz w:val="21"/>
              </w:rPr>
            </w:pPr>
          </w:p>
        </w:tc>
      </w:tr>
      <w:tr w14:paraId="59D99E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754" w:type="dxa"/>
            <w:vMerge w:val="continue"/>
            <w:tcBorders>
              <w:top w:val="nil"/>
            </w:tcBorders>
            <w:textDirection w:val="tbRlV"/>
            <w:vAlign w:val="top"/>
          </w:tcPr>
          <w:p w14:paraId="14487B2D">
            <w:pPr>
              <w:rPr>
                <w:rFonts w:ascii="Arial"/>
                <w:sz w:val="21"/>
              </w:rPr>
            </w:pPr>
          </w:p>
        </w:tc>
        <w:tc>
          <w:tcPr>
            <w:tcW w:w="549" w:type="dxa"/>
            <w:vAlign w:val="top"/>
          </w:tcPr>
          <w:p w14:paraId="758CABE7">
            <w:pPr>
              <w:pStyle w:val="39"/>
              <w:spacing w:before="36" w:line="196" w:lineRule="auto"/>
              <w:ind w:left="91"/>
              <w:rPr>
                <w:sz w:val="17"/>
                <w:szCs w:val="17"/>
              </w:rPr>
            </w:pPr>
            <w:r>
              <w:rPr>
                <w:spacing w:val="-2"/>
                <w:sz w:val="17"/>
                <w:szCs w:val="17"/>
              </w:rPr>
              <w:t>满意</w:t>
            </w:r>
          </w:p>
          <w:p w14:paraId="266DFF79">
            <w:pPr>
              <w:pStyle w:val="39"/>
              <w:spacing w:line="195" w:lineRule="auto"/>
              <w:ind w:left="91"/>
              <w:rPr>
                <w:sz w:val="17"/>
                <w:szCs w:val="17"/>
              </w:rPr>
            </w:pPr>
            <w:r>
              <w:rPr>
                <w:spacing w:val="-2"/>
                <w:sz w:val="17"/>
                <w:szCs w:val="17"/>
              </w:rPr>
              <w:t>度指</w:t>
            </w:r>
          </w:p>
          <w:p w14:paraId="52CE6116">
            <w:pPr>
              <w:pStyle w:val="39"/>
              <w:spacing w:line="198" w:lineRule="auto"/>
              <w:ind w:left="181"/>
              <w:rPr>
                <w:sz w:val="17"/>
                <w:szCs w:val="17"/>
              </w:rPr>
            </w:pPr>
            <w:r>
              <w:rPr>
                <w:sz w:val="17"/>
                <w:szCs w:val="17"/>
              </w:rPr>
              <w:t>标</w:t>
            </w:r>
          </w:p>
        </w:tc>
        <w:tc>
          <w:tcPr>
            <w:tcW w:w="1027" w:type="dxa"/>
            <w:vAlign w:val="center"/>
          </w:tcPr>
          <w:p w14:paraId="6A141910">
            <w:pPr>
              <w:pStyle w:val="39"/>
              <w:spacing w:before="26" w:line="206" w:lineRule="auto"/>
              <w:ind w:left="122"/>
              <w:jc w:val="center"/>
              <w:rPr>
                <w:sz w:val="17"/>
                <w:szCs w:val="17"/>
              </w:rPr>
            </w:pPr>
            <w:r>
              <w:rPr>
                <w:spacing w:val="-2"/>
                <w:sz w:val="17"/>
                <w:szCs w:val="17"/>
              </w:rPr>
              <w:t>服务对象</w:t>
            </w:r>
          </w:p>
          <w:p w14:paraId="0D6DDB3B">
            <w:pPr>
              <w:pStyle w:val="39"/>
              <w:spacing w:line="196" w:lineRule="auto"/>
              <w:ind w:left="122"/>
              <w:jc w:val="center"/>
              <w:rPr>
                <w:sz w:val="17"/>
                <w:szCs w:val="17"/>
              </w:rPr>
            </w:pPr>
            <w:r>
              <w:rPr>
                <w:spacing w:val="-2"/>
                <w:sz w:val="17"/>
                <w:szCs w:val="17"/>
              </w:rPr>
              <w:t>满意度指</w:t>
            </w:r>
          </w:p>
          <w:p w14:paraId="74F8EB0F">
            <w:pPr>
              <w:pStyle w:val="39"/>
              <w:spacing w:line="198" w:lineRule="auto"/>
              <w:ind w:left="382"/>
              <w:jc w:val="center"/>
              <w:rPr>
                <w:sz w:val="17"/>
                <w:szCs w:val="17"/>
              </w:rPr>
            </w:pPr>
            <w:r>
              <w:rPr>
                <w:sz w:val="17"/>
                <w:szCs w:val="17"/>
              </w:rPr>
              <w:t>标</w:t>
            </w:r>
          </w:p>
        </w:tc>
        <w:tc>
          <w:tcPr>
            <w:tcW w:w="2736" w:type="dxa"/>
            <w:gridSpan w:val="2"/>
            <w:vAlign w:val="top"/>
          </w:tcPr>
          <w:p w14:paraId="75A0FB69">
            <w:pPr>
              <w:pStyle w:val="39"/>
              <w:spacing w:before="216" w:line="219" w:lineRule="auto"/>
              <w:ind w:left="933"/>
              <w:rPr>
                <w:sz w:val="17"/>
                <w:szCs w:val="17"/>
              </w:rPr>
            </w:pPr>
            <w:r>
              <w:rPr>
                <w:spacing w:val="-2"/>
                <w:sz w:val="17"/>
                <w:szCs w:val="17"/>
              </w:rPr>
              <w:t>群众满意度</w:t>
            </w:r>
          </w:p>
        </w:tc>
        <w:tc>
          <w:tcPr>
            <w:tcW w:w="1012" w:type="dxa"/>
            <w:vAlign w:val="top"/>
          </w:tcPr>
          <w:p w14:paraId="0BF79414">
            <w:pPr>
              <w:pStyle w:val="39"/>
              <w:spacing w:before="232" w:line="237" w:lineRule="auto"/>
              <w:ind w:left="326"/>
              <w:rPr>
                <w:sz w:val="17"/>
                <w:szCs w:val="17"/>
              </w:rPr>
            </w:pPr>
            <w:r>
              <w:rPr>
                <w:spacing w:val="-5"/>
                <w:sz w:val="17"/>
                <w:szCs w:val="17"/>
              </w:rPr>
              <w:t>≥95%</w:t>
            </w:r>
          </w:p>
        </w:tc>
        <w:tc>
          <w:tcPr>
            <w:tcW w:w="1112" w:type="dxa"/>
            <w:vAlign w:val="top"/>
          </w:tcPr>
          <w:p w14:paraId="62E92729">
            <w:pPr>
              <w:pStyle w:val="39"/>
              <w:spacing w:before="232" w:line="237" w:lineRule="auto"/>
              <w:ind w:left="107"/>
              <w:rPr>
                <w:sz w:val="17"/>
                <w:szCs w:val="17"/>
              </w:rPr>
            </w:pPr>
            <w:r>
              <w:rPr>
                <w:spacing w:val="-5"/>
                <w:sz w:val="17"/>
                <w:szCs w:val="17"/>
              </w:rPr>
              <w:t>≥95%</w:t>
            </w:r>
          </w:p>
        </w:tc>
        <w:tc>
          <w:tcPr>
            <w:tcW w:w="1530" w:type="dxa"/>
            <w:vAlign w:val="top"/>
          </w:tcPr>
          <w:p w14:paraId="577C8F6A">
            <w:pPr>
              <w:rPr>
                <w:rFonts w:ascii="Arial"/>
                <w:sz w:val="21"/>
              </w:rPr>
            </w:pPr>
          </w:p>
        </w:tc>
      </w:tr>
      <w:tr w14:paraId="74439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754" w:type="dxa"/>
            <w:vAlign w:val="top"/>
          </w:tcPr>
          <w:p w14:paraId="213CAE20">
            <w:pPr>
              <w:pStyle w:val="39"/>
              <w:spacing w:before="55" w:line="219" w:lineRule="auto"/>
              <w:rPr>
                <w:sz w:val="17"/>
                <w:szCs w:val="17"/>
              </w:rPr>
            </w:pPr>
            <w:r>
              <w:rPr>
                <w:spacing w:val="9"/>
                <w:sz w:val="17"/>
                <w:szCs w:val="17"/>
              </w:rPr>
              <w:t>说明</w:t>
            </w:r>
          </w:p>
        </w:tc>
        <w:tc>
          <w:tcPr>
            <w:tcW w:w="7966" w:type="dxa"/>
            <w:gridSpan w:val="7"/>
            <w:vAlign w:val="top"/>
          </w:tcPr>
          <w:p w14:paraId="6D7EE616">
            <w:pPr>
              <w:pStyle w:val="39"/>
              <w:spacing w:before="56" w:line="220" w:lineRule="auto"/>
              <w:rPr>
                <w:sz w:val="17"/>
                <w:szCs w:val="17"/>
              </w:rPr>
            </w:pPr>
            <w:r>
              <w:rPr>
                <w:sz w:val="17"/>
                <w:szCs w:val="17"/>
              </w:rPr>
              <w:t>无</w:t>
            </w:r>
          </w:p>
        </w:tc>
      </w:tr>
    </w:tbl>
    <w:p w14:paraId="692D996A">
      <w:r>
        <w:br w:type="page"/>
      </w:r>
    </w:p>
    <w:p w14:paraId="5EA95E5E">
      <w:pPr>
        <w:spacing w:before="143" w:line="219" w:lineRule="auto"/>
        <w:ind w:left="2776"/>
        <w:rPr>
          <w:rFonts w:ascii="宋体" w:hAnsi="宋体" w:eastAsia="宋体" w:cs="宋体"/>
          <w:sz w:val="44"/>
          <w:szCs w:val="44"/>
        </w:rPr>
      </w:pPr>
      <w:r>
        <w:rPr>
          <w:rFonts w:ascii="宋体" w:hAnsi="宋体" w:eastAsia="宋体" w:cs="宋体"/>
          <w:b/>
          <w:bCs/>
          <w:spacing w:val="-4"/>
          <w:sz w:val="44"/>
          <w:szCs w:val="44"/>
        </w:rPr>
        <w:t>射洪市交通运输局</w:t>
      </w:r>
    </w:p>
    <w:p w14:paraId="2FF2A99B">
      <w:pPr>
        <w:spacing w:before="55" w:line="219" w:lineRule="auto"/>
        <w:ind w:left="976"/>
        <w:rPr>
          <w:rFonts w:ascii="宋体" w:hAnsi="宋体" w:eastAsia="宋体" w:cs="宋体"/>
          <w:sz w:val="44"/>
          <w:szCs w:val="44"/>
        </w:rPr>
      </w:pPr>
      <w:r>
        <w:rPr>
          <w:rFonts w:ascii="宋体" w:hAnsi="宋体" w:eastAsia="宋体" w:cs="宋体"/>
          <w:b/>
          <w:bCs/>
          <w:spacing w:val="-4"/>
          <w:sz w:val="44"/>
          <w:szCs w:val="44"/>
        </w:rPr>
        <w:t>普通国省干线国土空间控制规划项目</w:t>
      </w:r>
    </w:p>
    <w:p w14:paraId="42D8AACF">
      <w:pPr>
        <w:spacing w:before="36" w:line="218" w:lineRule="auto"/>
        <w:ind w:left="2756"/>
        <w:rPr>
          <w:rFonts w:ascii="宋体" w:hAnsi="宋体" w:eastAsia="宋体" w:cs="宋体"/>
          <w:sz w:val="44"/>
          <w:szCs w:val="44"/>
        </w:rPr>
      </w:pPr>
      <w:r>
        <w:rPr>
          <w:rFonts w:ascii="宋体" w:hAnsi="宋体" w:eastAsia="宋体" w:cs="宋体"/>
          <w:b/>
          <w:bCs/>
          <w:spacing w:val="-7"/>
          <w:sz w:val="44"/>
          <w:szCs w:val="44"/>
        </w:rPr>
        <w:t>采购绩效自评报告</w:t>
      </w:r>
    </w:p>
    <w:p w14:paraId="6434904D">
      <w:pPr>
        <w:spacing w:line="280" w:lineRule="auto"/>
        <w:rPr>
          <w:rFonts w:ascii="Arial"/>
          <w:sz w:val="21"/>
        </w:rPr>
      </w:pPr>
    </w:p>
    <w:p w14:paraId="1B8261BE">
      <w:pPr>
        <w:spacing w:line="280" w:lineRule="auto"/>
        <w:rPr>
          <w:rFonts w:ascii="Arial"/>
          <w:sz w:val="21"/>
        </w:rPr>
      </w:pPr>
    </w:p>
    <w:p w14:paraId="0C1ED19C">
      <w:pPr>
        <w:spacing w:before="104" w:line="221" w:lineRule="auto"/>
        <w:ind w:left="934"/>
        <w:outlineLvl w:val="1"/>
        <w:rPr>
          <w:rFonts w:ascii="黑体" w:hAnsi="黑体" w:eastAsia="黑体" w:cs="黑体"/>
          <w:sz w:val="32"/>
          <w:szCs w:val="32"/>
        </w:rPr>
      </w:pPr>
      <w:bookmarkStart w:id="121" w:name="_Toc24107"/>
      <w:bookmarkStart w:id="122" w:name="_Toc31822"/>
      <w:r>
        <w:rPr>
          <w:rFonts w:ascii="黑体" w:hAnsi="黑体" w:eastAsia="黑体" w:cs="黑体"/>
          <w:b/>
          <w:bCs/>
          <w:spacing w:val="-23"/>
          <w:sz w:val="32"/>
          <w:szCs w:val="32"/>
        </w:rPr>
        <w:t>一、项目概况</w:t>
      </w:r>
      <w:bookmarkEnd w:id="121"/>
      <w:bookmarkEnd w:id="122"/>
    </w:p>
    <w:p w14:paraId="79331836">
      <w:pPr>
        <w:spacing w:before="200" w:line="225" w:lineRule="auto"/>
        <w:ind w:left="970"/>
        <w:rPr>
          <w:rFonts w:ascii="楷体" w:hAnsi="楷体" w:eastAsia="楷体" w:cs="楷体"/>
          <w:sz w:val="32"/>
          <w:szCs w:val="32"/>
        </w:rPr>
      </w:pPr>
      <w:r>
        <w:rPr>
          <w:rFonts w:ascii="楷体" w:hAnsi="楷体" w:eastAsia="楷体" w:cs="楷体"/>
          <w:spacing w:val="-5"/>
          <w:sz w:val="32"/>
          <w:szCs w:val="32"/>
        </w:rPr>
        <w:t>(一)项目基本情况</w:t>
      </w:r>
    </w:p>
    <w:p w14:paraId="041E2D7E">
      <w:pPr>
        <w:pStyle w:val="6"/>
        <w:spacing w:before="168" w:line="310" w:lineRule="auto"/>
        <w:ind w:left="50" w:right="2" w:firstLine="880"/>
        <w:rPr>
          <w:sz w:val="32"/>
          <w:szCs w:val="32"/>
        </w:rPr>
      </w:pPr>
      <w:r>
        <w:rPr>
          <w:spacing w:val="12"/>
          <w:sz w:val="32"/>
          <w:szCs w:val="32"/>
        </w:rPr>
        <w:t>根据我市情况实际编制普通国省干线国土空间控制规划</w:t>
      </w:r>
      <w:r>
        <w:rPr>
          <w:sz w:val="32"/>
          <w:szCs w:val="32"/>
        </w:rPr>
        <w:t xml:space="preserve"> </w:t>
      </w:r>
      <w:r>
        <w:rPr>
          <w:spacing w:val="-9"/>
          <w:sz w:val="32"/>
          <w:szCs w:val="32"/>
        </w:rPr>
        <w:t>文本一套。</w:t>
      </w:r>
    </w:p>
    <w:p w14:paraId="59591492">
      <w:pPr>
        <w:spacing w:before="49" w:line="227" w:lineRule="auto"/>
        <w:ind w:left="970"/>
        <w:rPr>
          <w:rFonts w:ascii="楷体" w:hAnsi="楷体" w:eastAsia="楷体" w:cs="楷体"/>
          <w:sz w:val="32"/>
          <w:szCs w:val="32"/>
        </w:rPr>
      </w:pPr>
      <w:r>
        <w:rPr>
          <w:rFonts w:ascii="楷体" w:hAnsi="楷体" w:eastAsia="楷体" w:cs="楷体"/>
          <w:spacing w:val="-8"/>
          <w:sz w:val="32"/>
          <w:szCs w:val="32"/>
        </w:rPr>
        <w:t>(二)项目绩效目标</w:t>
      </w:r>
    </w:p>
    <w:p w14:paraId="35715F7C">
      <w:pPr>
        <w:pStyle w:val="6"/>
        <w:spacing w:before="164" w:line="309" w:lineRule="auto"/>
        <w:ind w:left="50" w:firstLine="880"/>
        <w:rPr>
          <w:sz w:val="32"/>
          <w:szCs w:val="32"/>
        </w:rPr>
      </w:pPr>
      <w:r>
        <w:rPr>
          <w:spacing w:val="-1"/>
          <w:sz w:val="32"/>
          <w:szCs w:val="32"/>
        </w:rPr>
        <w:t>完成普通国省干线国土空间控制规划，解决交通</w:t>
      </w:r>
      <w:r>
        <w:rPr>
          <w:spacing w:val="-2"/>
          <w:sz w:val="32"/>
          <w:szCs w:val="32"/>
        </w:rPr>
        <w:t>线性工程</w:t>
      </w:r>
      <w:r>
        <w:rPr>
          <w:sz w:val="32"/>
          <w:szCs w:val="32"/>
        </w:rPr>
        <w:t xml:space="preserve"> </w:t>
      </w:r>
      <w:r>
        <w:rPr>
          <w:spacing w:val="-9"/>
          <w:sz w:val="32"/>
          <w:szCs w:val="32"/>
        </w:rPr>
        <w:t>土地制约瓶颈。</w:t>
      </w:r>
    </w:p>
    <w:p w14:paraId="2DADCEBA">
      <w:pPr>
        <w:spacing w:before="56" w:line="223" w:lineRule="auto"/>
        <w:ind w:left="970"/>
        <w:rPr>
          <w:rFonts w:ascii="楷体" w:hAnsi="楷体" w:eastAsia="楷体" w:cs="楷体"/>
          <w:sz w:val="32"/>
          <w:szCs w:val="32"/>
        </w:rPr>
      </w:pPr>
      <w:r>
        <w:rPr>
          <w:rFonts w:ascii="楷体" w:hAnsi="楷体" w:eastAsia="楷体" w:cs="楷体"/>
          <w:spacing w:val="-6"/>
          <w:sz w:val="32"/>
          <w:szCs w:val="32"/>
        </w:rPr>
        <w:t>(三)项目自评步骤及方法</w:t>
      </w:r>
    </w:p>
    <w:p w14:paraId="55DDAF87">
      <w:pPr>
        <w:pStyle w:val="6"/>
        <w:spacing w:before="173" w:line="272" w:lineRule="auto"/>
        <w:ind w:left="50" w:right="80" w:firstLine="639"/>
        <w:rPr>
          <w:sz w:val="32"/>
          <w:szCs w:val="32"/>
        </w:rPr>
      </w:pPr>
      <w:r>
        <w:rPr>
          <w:rFonts w:ascii="宋体" w:hAnsi="宋体" w:eastAsia="宋体" w:cs="宋体"/>
          <w:spacing w:val="-1"/>
          <w:sz w:val="32"/>
          <w:szCs w:val="32"/>
        </w:rPr>
        <w:t>1、</w:t>
      </w:r>
      <w:r>
        <w:rPr>
          <w:spacing w:val="-1"/>
          <w:sz w:val="32"/>
          <w:szCs w:val="32"/>
        </w:rPr>
        <w:t>建立评价工作组，以队主要负责人为组长，综合</w:t>
      </w:r>
      <w:r>
        <w:rPr>
          <w:spacing w:val="-2"/>
          <w:sz w:val="32"/>
          <w:szCs w:val="32"/>
        </w:rPr>
        <w:t>室、各</w:t>
      </w:r>
      <w:r>
        <w:rPr>
          <w:sz w:val="32"/>
          <w:szCs w:val="32"/>
        </w:rPr>
        <w:t xml:space="preserve"> </w:t>
      </w:r>
      <w:r>
        <w:rPr>
          <w:spacing w:val="-8"/>
          <w:sz w:val="32"/>
          <w:szCs w:val="32"/>
        </w:rPr>
        <w:t>中队负责人组成评价工作组。</w:t>
      </w:r>
    </w:p>
    <w:p w14:paraId="1BB6620A">
      <w:pPr>
        <w:pStyle w:val="6"/>
        <w:spacing w:before="177" w:line="272" w:lineRule="auto"/>
        <w:ind w:right="75" w:firstLine="689"/>
        <w:rPr>
          <w:sz w:val="32"/>
          <w:szCs w:val="32"/>
        </w:rPr>
      </w:pPr>
      <w:r>
        <w:rPr>
          <w:rFonts w:ascii="宋体" w:hAnsi="宋体" w:eastAsia="宋体" w:cs="宋体"/>
          <w:spacing w:val="-1"/>
          <w:sz w:val="32"/>
          <w:szCs w:val="32"/>
        </w:rPr>
        <w:t>2、</w:t>
      </w:r>
      <w:r>
        <w:rPr>
          <w:spacing w:val="-1"/>
          <w:sz w:val="32"/>
          <w:szCs w:val="32"/>
        </w:rPr>
        <w:t>制定评价工作方案，由工作组制定评价工作方案，工作</w:t>
      </w:r>
      <w:r>
        <w:rPr>
          <w:spacing w:val="2"/>
          <w:sz w:val="32"/>
          <w:szCs w:val="32"/>
        </w:rPr>
        <w:t xml:space="preserve"> </w:t>
      </w:r>
      <w:r>
        <w:rPr>
          <w:spacing w:val="-5"/>
          <w:sz w:val="32"/>
          <w:szCs w:val="32"/>
        </w:rPr>
        <w:t>组组长审批签发，作为评价依据。</w:t>
      </w:r>
    </w:p>
    <w:p w14:paraId="1ABEAF40">
      <w:pPr>
        <w:pStyle w:val="6"/>
        <w:spacing w:before="179" w:line="278" w:lineRule="auto"/>
        <w:ind w:right="82" w:firstLine="689"/>
        <w:rPr>
          <w:sz w:val="32"/>
          <w:szCs w:val="32"/>
        </w:rPr>
      </w:pPr>
      <w:r>
        <w:rPr>
          <w:rFonts w:ascii="宋体" w:hAnsi="宋体" w:eastAsia="宋体" w:cs="宋体"/>
          <w:spacing w:val="-1"/>
          <w:sz w:val="32"/>
          <w:szCs w:val="32"/>
        </w:rPr>
        <w:t>3、</w:t>
      </w:r>
      <w:r>
        <w:rPr>
          <w:spacing w:val="-1"/>
          <w:sz w:val="32"/>
          <w:szCs w:val="32"/>
        </w:rPr>
        <w:t>下达评价通知，评价通知书一般由自评单位</w:t>
      </w:r>
      <w:r>
        <w:rPr>
          <w:spacing w:val="-2"/>
          <w:sz w:val="32"/>
          <w:szCs w:val="32"/>
        </w:rPr>
        <w:t>下达给承担</w:t>
      </w:r>
      <w:r>
        <w:rPr>
          <w:sz w:val="32"/>
          <w:szCs w:val="32"/>
        </w:rPr>
        <w:t xml:space="preserve"> </w:t>
      </w:r>
      <w:r>
        <w:rPr>
          <w:spacing w:val="-5"/>
          <w:sz w:val="32"/>
          <w:szCs w:val="32"/>
        </w:rPr>
        <w:t>项目使用的本单位内部机构。</w:t>
      </w:r>
    </w:p>
    <w:p w14:paraId="567BF6F4">
      <w:pPr>
        <w:pStyle w:val="6"/>
        <w:spacing w:before="270" w:line="271" w:lineRule="auto"/>
        <w:ind w:right="51" w:firstLine="689"/>
        <w:rPr>
          <w:sz w:val="32"/>
          <w:szCs w:val="32"/>
        </w:rPr>
      </w:pPr>
      <w:r>
        <w:rPr>
          <w:rFonts w:ascii="宋体" w:hAnsi="宋体" w:eastAsia="宋体" w:cs="宋体"/>
          <w:sz w:val="32"/>
          <w:szCs w:val="32"/>
        </w:rPr>
        <w:t>4、</w:t>
      </w:r>
      <w:r>
        <w:rPr>
          <w:sz w:val="32"/>
          <w:szCs w:val="32"/>
        </w:rPr>
        <w:t xml:space="preserve">评价方法分为现场评价、专项资金绩效自评、访谈评价 </w:t>
      </w:r>
      <w:r>
        <w:rPr>
          <w:spacing w:val="-13"/>
          <w:sz w:val="32"/>
          <w:szCs w:val="32"/>
        </w:rPr>
        <w:t>等。</w:t>
      </w:r>
    </w:p>
    <w:p w14:paraId="2757DFA5">
      <w:pPr>
        <w:spacing w:before="186" w:line="222" w:lineRule="auto"/>
        <w:ind w:left="804"/>
        <w:outlineLvl w:val="1"/>
        <w:rPr>
          <w:rFonts w:ascii="黑体" w:hAnsi="黑体" w:eastAsia="黑体" w:cs="黑体"/>
          <w:sz w:val="32"/>
          <w:szCs w:val="32"/>
        </w:rPr>
      </w:pPr>
      <w:bookmarkStart w:id="123" w:name="_Toc15131"/>
      <w:bookmarkStart w:id="124" w:name="_Toc26859"/>
      <w:r>
        <w:rPr>
          <w:rFonts w:ascii="黑体" w:hAnsi="黑体" w:eastAsia="黑体" w:cs="黑体"/>
          <w:b/>
          <w:bCs/>
          <w:spacing w:val="-23"/>
          <w:sz w:val="32"/>
          <w:szCs w:val="32"/>
        </w:rPr>
        <w:t>二、项目资金申报及使用情况</w:t>
      </w:r>
      <w:bookmarkEnd w:id="123"/>
      <w:bookmarkEnd w:id="124"/>
    </w:p>
    <w:p w14:paraId="7305A150">
      <w:pPr>
        <w:spacing w:before="104" w:line="226" w:lineRule="auto"/>
        <w:ind w:left="874"/>
        <w:outlineLvl w:val="6"/>
        <w:rPr>
          <w:rFonts w:ascii="楷体" w:hAnsi="楷体" w:eastAsia="楷体" w:cs="楷体"/>
          <w:sz w:val="32"/>
          <w:szCs w:val="32"/>
        </w:rPr>
      </w:pPr>
      <w:r>
        <w:rPr>
          <w:rFonts w:ascii="楷体" w:hAnsi="楷体" w:eastAsia="楷体" w:cs="楷体"/>
          <w:b/>
          <w:bCs/>
          <w:spacing w:val="-9"/>
          <w:sz w:val="32"/>
          <w:szCs w:val="32"/>
        </w:rPr>
        <w:t>(一)项目资金申报及批复情况</w:t>
      </w:r>
    </w:p>
    <w:p w14:paraId="33CA3841">
      <w:pPr>
        <w:pStyle w:val="6"/>
        <w:spacing w:before="178" w:line="304" w:lineRule="auto"/>
        <w:ind w:right="178" w:firstLine="869"/>
        <w:rPr>
          <w:sz w:val="32"/>
          <w:szCs w:val="32"/>
        </w:rPr>
      </w:pPr>
      <w:r>
        <w:rPr>
          <w:spacing w:val="6"/>
          <w:sz w:val="32"/>
          <w:szCs w:val="32"/>
        </w:rPr>
        <w:t>国省干线国土空间控制规划项目申请80万元，纳入2023</w:t>
      </w:r>
      <w:r>
        <w:rPr>
          <w:spacing w:val="18"/>
          <w:sz w:val="32"/>
          <w:szCs w:val="32"/>
        </w:rPr>
        <w:t xml:space="preserve"> </w:t>
      </w:r>
      <w:r>
        <w:rPr>
          <w:spacing w:val="-9"/>
          <w:sz w:val="32"/>
          <w:szCs w:val="32"/>
        </w:rPr>
        <w:t>年资金预算中。</w:t>
      </w:r>
    </w:p>
    <w:p w14:paraId="252A7C5A">
      <w:pPr>
        <w:spacing w:before="56" w:line="226" w:lineRule="auto"/>
        <w:ind w:left="874"/>
        <w:outlineLvl w:val="6"/>
        <w:rPr>
          <w:rFonts w:ascii="楷体" w:hAnsi="楷体" w:eastAsia="楷体" w:cs="楷体"/>
          <w:sz w:val="32"/>
          <w:szCs w:val="32"/>
        </w:rPr>
      </w:pPr>
      <w:r>
        <w:rPr>
          <w:rFonts w:ascii="楷体" w:hAnsi="楷体" w:eastAsia="楷体" w:cs="楷体"/>
          <w:b/>
          <w:bCs/>
          <w:spacing w:val="-8"/>
          <w:sz w:val="32"/>
          <w:szCs w:val="32"/>
        </w:rPr>
        <w:t>(二)资金计划、到位及使用情况</w:t>
      </w:r>
    </w:p>
    <w:p w14:paraId="78327765">
      <w:pPr>
        <w:pStyle w:val="6"/>
        <w:spacing w:before="162" w:line="225" w:lineRule="auto"/>
        <w:ind w:left="869"/>
        <w:rPr>
          <w:sz w:val="32"/>
          <w:szCs w:val="32"/>
        </w:rPr>
      </w:pPr>
      <w:r>
        <w:rPr>
          <w:rFonts w:ascii="楷体" w:hAnsi="楷体" w:eastAsia="楷体" w:cs="楷体"/>
          <w:spacing w:val="3"/>
          <w:sz w:val="32"/>
          <w:szCs w:val="32"/>
        </w:rPr>
        <w:t>1.资金计划</w:t>
      </w:r>
      <w:r>
        <w:rPr>
          <w:spacing w:val="3"/>
          <w:sz w:val="32"/>
          <w:szCs w:val="32"/>
        </w:rPr>
        <w:t>。待成果提交后，支付80万元，</w:t>
      </w:r>
    </w:p>
    <w:p w14:paraId="5A0D26EF">
      <w:pPr>
        <w:pStyle w:val="6"/>
        <w:spacing w:before="170" w:line="273" w:lineRule="auto"/>
        <w:ind w:firstLine="869"/>
        <w:rPr>
          <w:sz w:val="32"/>
          <w:szCs w:val="32"/>
        </w:rPr>
      </w:pPr>
      <w:r>
        <w:rPr>
          <w:rFonts w:ascii="宋体" w:hAnsi="宋体" w:eastAsia="宋体" w:cs="宋体"/>
          <w:spacing w:val="-1"/>
          <w:sz w:val="32"/>
          <w:szCs w:val="32"/>
        </w:rPr>
        <w:t>2.</w:t>
      </w:r>
      <w:r>
        <w:rPr>
          <w:rFonts w:ascii="宋体" w:hAnsi="宋体" w:eastAsia="宋体" w:cs="宋体"/>
          <w:spacing w:val="-92"/>
          <w:sz w:val="32"/>
          <w:szCs w:val="32"/>
        </w:rPr>
        <w:t xml:space="preserve"> </w:t>
      </w:r>
      <w:r>
        <w:rPr>
          <w:rFonts w:ascii="楷体" w:hAnsi="楷体" w:eastAsia="楷体" w:cs="楷体"/>
          <w:spacing w:val="-1"/>
          <w:sz w:val="32"/>
          <w:szCs w:val="32"/>
        </w:rPr>
        <w:t>资金到位。</w:t>
      </w:r>
      <w:r>
        <w:rPr>
          <w:spacing w:val="-1"/>
          <w:sz w:val="32"/>
          <w:szCs w:val="32"/>
        </w:rPr>
        <w:t>按项目计划，2023年实际资金到位80万元，</w:t>
      </w:r>
      <w:r>
        <w:rPr>
          <w:sz w:val="32"/>
          <w:szCs w:val="32"/>
        </w:rPr>
        <w:t xml:space="preserve"> </w:t>
      </w:r>
      <w:r>
        <w:rPr>
          <w:spacing w:val="6"/>
          <w:sz w:val="32"/>
          <w:szCs w:val="32"/>
        </w:rPr>
        <w:t>其中射洪市财政资金80万元。</w:t>
      </w:r>
    </w:p>
    <w:p w14:paraId="1B18D271">
      <w:pPr>
        <w:pStyle w:val="6"/>
        <w:spacing w:before="284" w:line="301" w:lineRule="auto"/>
        <w:ind w:right="73" w:firstLine="869"/>
        <w:rPr>
          <w:sz w:val="32"/>
          <w:szCs w:val="32"/>
        </w:rPr>
      </w:pPr>
      <w:r>
        <w:rPr>
          <w:rFonts w:ascii="宋体" w:hAnsi="宋体" w:eastAsia="宋体" w:cs="宋体"/>
          <w:spacing w:val="3"/>
          <w:sz w:val="32"/>
          <w:szCs w:val="32"/>
        </w:rPr>
        <w:t>3.</w:t>
      </w:r>
      <w:r>
        <w:rPr>
          <w:rFonts w:ascii="宋体" w:hAnsi="宋体" w:eastAsia="宋体" w:cs="宋体"/>
          <w:spacing w:val="-15"/>
          <w:sz w:val="32"/>
          <w:szCs w:val="32"/>
        </w:rPr>
        <w:t xml:space="preserve"> </w:t>
      </w:r>
      <w:r>
        <w:rPr>
          <w:rFonts w:ascii="楷体" w:hAnsi="楷体" w:eastAsia="楷体" w:cs="楷体"/>
          <w:spacing w:val="3"/>
          <w:sz w:val="32"/>
          <w:szCs w:val="32"/>
        </w:rPr>
        <w:t>资金使用</w:t>
      </w:r>
      <w:r>
        <w:rPr>
          <w:spacing w:val="3"/>
          <w:sz w:val="32"/>
          <w:szCs w:val="32"/>
        </w:rPr>
        <w:t>。2023年度收到资金80万元，待编制单位提</w:t>
      </w:r>
      <w:r>
        <w:rPr>
          <w:sz w:val="32"/>
          <w:szCs w:val="32"/>
        </w:rPr>
        <w:t xml:space="preserve"> </w:t>
      </w:r>
      <w:r>
        <w:rPr>
          <w:spacing w:val="5"/>
          <w:sz w:val="32"/>
          <w:szCs w:val="32"/>
        </w:rPr>
        <w:t>交成果后，实际支出80万元，本项目经费严格按照单位的财务</w:t>
      </w:r>
      <w:r>
        <w:rPr>
          <w:spacing w:val="18"/>
          <w:sz w:val="32"/>
          <w:szCs w:val="32"/>
        </w:rPr>
        <w:t xml:space="preserve"> </w:t>
      </w:r>
      <w:r>
        <w:rPr>
          <w:spacing w:val="-6"/>
          <w:sz w:val="32"/>
          <w:szCs w:val="32"/>
        </w:rPr>
        <w:t>制度和预算支出范围的使用，按照项目计划安排和实际工作情况</w:t>
      </w:r>
      <w:r>
        <w:rPr>
          <w:spacing w:val="10"/>
          <w:sz w:val="32"/>
          <w:szCs w:val="32"/>
        </w:rPr>
        <w:t xml:space="preserve"> </w:t>
      </w:r>
      <w:r>
        <w:rPr>
          <w:spacing w:val="-5"/>
          <w:sz w:val="32"/>
          <w:szCs w:val="32"/>
        </w:rPr>
        <w:t>开支，做到了专款专用，未以任何理由滞留、截留、挪用、窜用</w:t>
      </w:r>
      <w:r>
        <w:rPr>
          <w:spacing w:val="15"/>
          <w:sz w:val="32"/>
          <w:szCs w:val="32"/>
        </w:rPr>
        <w:t xml:space="preserve"> </w:t>
      </w:r>
      <w:r>
        <w:rPr>
          <w:spacing w:val="-6"/>
          <w:sz w:val="32"/>
          <w:szCs w:val="32"/>
        </w:rPr>
        <w:t>该项目资金。经费均按照射洪市财政局印发有关文件、通知精神</w:t>
      </w:r>
      <w:r>
        <w:rPr>
          <w:spacing w:val="11"/>
          <w:sz w:val="32"/>
          <w:szCs w:val="32"/>
        </w:rPr>
        <w:t xml:space="preserve"> </w:t>
      </w:r>
      <w:r>
        <w:rPr>
          <w:spacing w:val="-5"/>
          <w:sz w:val="32"/>
          <w:szCs w:val="32"/>
        </w:rPr>
        <w:t>执行。</w:t>
      </w:r>
    </w:p>
    <w:p w14:paraId="35FEFB70">
      <w:pPr>
        <w:spacing w:before="224" w:line="223" w:lineRule="auto"/>
        <w:ind w:left="869"/>
        <w:rPr>
          <w:rFonts w:ascii="楷体" w:hAnsi="楷体" w:eastAsia="楷体" w:cs="楷体"/>
          <w:sz w:val="32"/>
          <w:szCs w:val="32"/>
        </w:rPr>
      </w:pPr>
      <w:r>
        <w:rPr>
          <w:rFonts w:ascii="楷体" w:hAnsi="楷体" w:eastAsia="楷体" w:cs="楷体"/>
          <w:spacing w:val="-6"/>
          <w:sz w:val="32"/>
          <w:szCs w:val="32"/>
        </w:rPr>
        <w:t>(三)项目财务管理情况</w:t>
      </w:r>
    </w:p>
    <w:p w14:paraId="388B6EDC">
      <w:pPr>
        <w:pStyle w:val="6"/>
        <w:spacing w:before="178" w:line="314" w:lineRule="auto"/>
        <w:ind w:right="120" w:firstLine="869"/>
        <w:rPr>
          <w:sz w:val="32"/>
          <w:szCs w:val="32"/>
        </w:rPr>
      </w:pPr>
      <w:r>
        <w:rPr>
          <w:spacing w:val="-4"/>
          <w:sz w:val="32"/>
          <w:szCs w:val="32"/>
        </w:rPr>
        <w:t>射洪</w:t>
      </w:r>
      <w:r>
        <w:rPr>
          <w:rFonts w:hint="eastAsia"/>
          <w:spacing w:val="-4"/>
          <w:sz w:val="32"/>
          <w:szCs w:val="32"/>
          <w:lang w:eastAsia="zh-CN"/>
        </w:rPr>
        <w:t>市交通运输局</w:t>
      </w:r>
      <w:r>
        <w:rPr>
          <w:spacing w:val="-4"/>
          <w:sz w:val="32"/>
          <w:szCs w:val="32"/>
        </w:rPr>
        <w:t>财务管理制度健全，严格执行财务管理制</w:t>
      </w:r>
      <w:r>
        <w:rPr>
          <w:spacing w:val="18"/>
          <w:sz w:val="32"/>
          <w:szCs w:val="32"/>
        </w:rPr>
        <w:t xml:space="preserve"> </w:t>
      </w:r>
      <w:r>
        <w:rPr>
          <w:spacing w:val="-4"/>
          <w:sz w:val="32"/>
          <w:szCs w:val="32"/>
        </w:rPr>
        <w:t>度，账务及时处理，会计核算规范。</w:t>
      </w:r>
    </w:p>
    <w:p w14:paraId="19133225">
      <w:pPr>
        <w:spacing w:before="18" w:line="222" w:lineRule="auto"/>
        <w:ind w:left="854"/>
        <w:outlineLvl w:val="1"/>
        <w:rPr>
          <w:rFonts w:ascii="黑体" w:hAnsi="黑体" w:eastAsia="黑体" w:cs="黑体"/>
          <w:sz w:val="32"/>
          <w:szCs w:val="32"/>
        </w:rPr>
      </w:pPr>
      <w:bookmarkStart w:id="125" w:name="_Toc14309"/>
      <w:bookmarkStart w:id="126" w:name="_Toc10094"/>
      <w:r>
        <w:rPr>
          <w:rFonts w:ascii="黑体" w:hAnsi="黑体" w:eastAsia="黑体" w:cs="黑体"/>
          <w:b/>
          <w:bCs/>
          <w:spacing w:val="-26"/>
          <w:sz w:val="32"/>
          <w:szCs w:val="32"/>
        </w:rPr>
        <w:t>三、项目实施及管理情况</w:t>
      </w:r>
      <w:bookmarkEnd w:id="125"/>
      <w:bookmarkEnd w:id="126"/>
    </w:p>
    <w:p w14:paraId="332AA6CF">
      <w:pPr>
        <w:pStyle w:val="6"/>
        <w:spacing w:before="277" w:line="318" w:lineRule="auto"/>
        <w:ind w:right="108" w:firstLine="869"/>
        <w:rPr>
          <w:sz w:val="32"/>
          <w:szCs w:val="32"/>
        </w:rPr>
      </w:pPr>
      <w:r>
        <w:rPr>
          <w:spacing w:val="-3"/>
          <w:sz w:val="32"/>
          <w:szCs w:val="32"/>
        </w:rPr>
        <w:t>结合项目组织实施管理办法，重点围绕以下内容进行分析</w:t>
      </w:r>
      <w:r>
        <w:rPr>
          <w:spacing w:val="5"/>
          <w:sz w:val="32"/>
          <w:szCs w:val="32"/>
        </w:rPr>
        <w:t xml:space="preserve"> </w:t>
      </w:r>
      <w:r>
        <w:rPr>
          <w:spacing w:val="-5"/>
          <w:sz w:val="32"/>
          <w:szCs w:val="32"/>
        </w:rPr>
        <w:t>评价，并对自评中发现的问题分析说明。</w:t>
      </w:r>
    </w:p>
    <w:p w14:paraId="5E807D28">
      <w:pPr>
        <w:spacing w:before="28" w:line="224" w:lineRule="auto"/>
        <w:ind w:left="869"/>
        <w:rPr>
          <w:rFonts w:ascii="楷体" w:hAnsi="楷体" w:eastAsia="楷体" w:cs="楷体"/>
          <w:sz w:val="32"/>
          <w:szCs w:val="32"/>
        </w:rPr>
      </w:pPr>
      <w:r>
        <w:rPr>
          <w:rFonts w:ascii="楷体" w:hAnsi="楷体" w:eastAsia="楷体" w:cs="楷体"/>
          <w:spacing w:val="12"/>
          <w:sz w:val="32"/>
          <w:szCs w:val="32"/>
        </w:rPr>
        <w:t>(一)项目组织架构及实施流程</w:t>
      </w:r>
    </w:p>
    <w:p w14:paraId="24DC51D7">
      <w:pPr>
        <w:pStyle w:val="6"/>
        <w:spacing w:before="278" w:line="315" w:lineRule="auto"/>
        <w:ind w:right="120" w:firstLine="869"/>
        <w:rPr>
          <w:sz w:val="32"/>
          <w:szCs w:val="32"/>
        </w:rPr>
      </w:pPr>
      <w:r>
        <w:rPr>
          <w:spacing w:val="9"/>
          <w:sz w:val="32"/>
          <w:szCs w:val="32"/>
        </w:rPr>
        <w:t>项目经费支出情况是80万元在开支范围和开支</w:t>
      </w:r>
      <w:r>
        <w:rPr>
          <w:spacing w:val="8"/>
          <w:sz w:val="32"/>
          <w:szCs w:val="32"/>
        </w:rPr>
        <w:t>标准规定</w:t>
      </w:r>
      <w:r>
        <w:rPr>
          <w:sz w:val="32"/>
          <w:szCs w:val="32"/>
        </w:rPr>
        <w:t xml:space="preserve"> </w:t>
      </w:r>
      <w:r>
        <w:rPr>
          <w:spacing w:val="-6"/>
          <w:sz w:val="32"/>
          <w:szCs w:val="32"/>
        </w:rPr>
        <w:t>内执行，此项经费为年初预算资金，交通运输局用于支</w:t>
      </w:r>
      <w:r>
        <w:rPr>
          <w:spacing w:val="-7"/>
          <w:sz w:val="32"/>
          <w:szCs w:val="32"/>
        </w:rPr>
        <w:t>付编制费</w:t>
      </w:r>
      <w:r>
        <w:rPr>
          <w:spacing w:val="-16"/>
          <w:sz w:val="32"/>
          <w:szCs w:val="32"/>
        </w:rPr>
        <w:t>用。</w:t>
      </w:r>
    </w:p>
    <w:p w14:paraId="0C77E334">
      <w:pPr>
        <w:spacing w:before="194" w:line="223" w:lineRule="auto"/>
        <w:ind w:left="1130"/>
        <w:rPr>
          <w:rFonts w:ascii="楷体" w:hAnsi="楷体" w:eastAsia="楷体" w:cs="楷体"/>
          <w:sz w:val="32"/>
          <w:szCs w:val="32"/>
        </w:rPr>
      </w:pPr>
      <w:r>
        <w:rPr>
          <w:rFonts w:ascii="楷体" w:hAnsi="楷体" w:eastAsia="楷体" w:cs="楷体"/>
          <w:spacing w:val="19"/>
          <w:sz w:val="32"/>
          <w:szCs w:val="32"/>
        </w:rPr>
        <w:t>(二)项目管理情况</w:t>
      </w:r>
    </w:p>
    <w:p w14:paraId="70385B57">
      <w:pPr>
        <w:pStyle w:val="6"/>
        <w:spacing w:before="268" w:line="315" w:lineRule="auto"/>
        <w:ind w:right="109" w:firstLine="870"/>
        <w:jc w:val="both"/>
        <w:rPr>
          <w:sz w:val="32"/>
          <w:szCs w:val="32"/>
        </w:rPr>
      </w:pPr>
      <w:r>
        <w:rPr>
          <w:spacing w:val="12"/>
          <w:sz w:val="32"/>
          <w:szCs w:val="32"/>
        </w:rPr>
        <w:t>本项目的经费严格按照单位的财务制度和预算支出范围</w:t>
      </w:r>
      <w:r>
        <w:rPr>
          <w:spacing w:val="-5"/>
          <w:sz w:val="32"/>
          <w:szCs w:val="32"/>
        </w:rPr>
        <w:t>的使用。由局财务统一核算，按照项目计划安排和实际工作情况</w:t>
      </w:r>
      <w:r>
        <w:rPr>
          <w:spacing w:val="2"/>
          <w:sz w:val="32"/>
          <w:szCs w:val="32"/>
        </w:rPr>
        <w:t xml:space="preserve"> </w:t>
      </w:r>
      <w:r>
        <w:rPr>
          <w:spacing w:val="-11"/>
          <w:sz w:val="32"/>
          <w:szCs w:val="32"/>
        </w:rPr>
        <w:t>开支，做到了专款专用，经费均按照射洪市财政局印发有关文</w:t>
      </w:r>
      <w:r>
        <w:rPr>
          <w:spacing w:val="-12"/>
          <w:sz w:val="32"/>
          <w:szCs w:val="32"/>
        </w:rPr>
        <w:t>件、</w:t>
      </w:r>
      <w:r>
        <w:rPr>
          <w:sz w:val="32"/>
          <w:szCs w:val="32"/>
        </w:rPr>
        <w:t xml:space="preserve"> </w:t>
      </w:r>
      <w:r>
        <w:rPr>
          <w:spacing w:val="-9"/>
          <w:sz w:val="32"/>
          <w:szCs w:val="32"/>
        </w:rPr>
        <w:t>通知精神执行。</w:t>
      </w:r>
    </w:p>
    <w:p w14:paraId="1FA26DD0">
      <w:pPr>
        <w:spacing w:before="60" w:line="223" w:lineRule="auto"/>
        <w:ind w:left="1140"/>
        <w:rPr>
          <w:rFonts w:ascii="楷体" w:hAnsi="楷体" w:eastAsia="楷体" w:cs="楷体"/>
          <w:sz w:val="32"/>
          <w:szCs w:val="32"/>
        </w:rPr>
      </w:pPr>
      <w:r>
        <w:rPr>
          <w:rFonts w:ascii="楷体" w:hAnsi="楷体" w:eastAsia="楷体" w:cs="楷体"/>
          <w:spacing w:val="-8"/>
          <w:sz w:val="32"/>
          <w:szCs w:val="32"/>
        </w:rPr>
        <w:t>(三)项目监管情况</w:t>
      </w:r>
    </w:p>
    <w:p w14:paraId="44ADA340">
      <w:pPr>
        <w:pStyle w:val="6"/>
        <w:spacing w:before="258" w:line="324" w:lineRule="auto"/>
        <w:ind w:firstLine="870"/>
        <w:jc w:val="both"/>
        <w:rPr>
          <w:sz w:val="32"/>
          <w:szCs w:val="32"/>
        </w:rPr>
      </w:pPr>
      <w:r>
        <w:rPr>
          <w:spacing w:val="-5"/>
          <w:sz w:val="32"/>
          <w:szCs w:val="32"/>
        </w:rPr>
        <w:t>交通运输局为加强此项目监管，由局财务股进行日常监督，</w:t>
      </w:r>
      <w:r>
        <w:rPr>
          <w:spacing w:val="8"/>
          <w:sz w:val="32"/>
          <w:szCs w:val="32"/>
        </w:rPr>
        <w:t xml:space="preserve"> </w:t>
      </w:r>
      <w:r>
        <w:rPr>
          <w:spacing w:val="-4"/>
          <w:sz w:val="32"/>
          <w:szCs w:val="32"/>
        </w:rPr>
        <w:t>最后由执法大队组织进行验收。做到每一环节有</w:t>
      </w:r>
      <w:r>
        <w:rPr>
          <w:spacing w:val="-5"/>
          <w:sz w:val="32"/>
          <w:szCs w:val="32"/>
        </w:rPr>
        <w:t>人监管，在透明</w:t>
      </w:r>
      <w:r>
        <w:rPr>
          <w:sz w:val="32"/>
          <w:szCs w:val="32"/>
        </w:rPr>
        <w:t xml:space="preserve">  </w:t>
      </w:r>
      <w:r>
        <w:rPr>
          <w:spacing w:val="-6"/>
          <w:sz w:val="32"/>
          <w:szCs w:val="32"/>
        </w:rPr>
        <w:t>化制度下</w:t>
      </w:r>
      <w:r>
        <w:rPr>
          <w:rFonts w:hint="eastAsia"/>
          <w:spacing w:val="-6"/>
          <w:sz w:val="32"/>
          <w:szCs w:val="32"/>
          <w:lang w:eastAsia="zh-CN"/>
        </w:rPr>
        <w:t>有序地进行</w:t>
      </w:r>
      <w:r>
        <w:rPr>
          <w:spacing w:val="-6"/>
          <w:sz w:val="32"/>
          <w:szCs w:val="32"/>
        </w:rPr>
        <w:t>。</w:t>
      </w:r>
    </w:p>
    <w:p w14:paraId="7B2BFE98">
      <w:pPr>
        <w:spacing w:before="21" w:line="221" w:lineRule="auto"/>
        <w:ind w:left="874"/>
        <w:outlineLvl w:val="1"/>
        <w:rPr>
          <w:rFonts w:ascii="黑体" w:hAnsi="黑体" w:eastAsia="黑体" w:cs="黑体"/>
          <w:sz w:val="32"/>
          <w:szCs w:val="32"/>
        </w:rPr>
      </w:pPr>
      <w:bookmarkStart w:id="127" w:name="_Toc17639"/>
      <w:bookmarkStart w:id="128" w:name="_Toc22150"/>
      <w:r>
        <w:rPr>
          <w:rFonts w:ascii="黑体" w:hAnsi="黑体" w:eastAsia="黑体" w:cs="黑体"/>
          <w:b/>
          <w:bCs/>
          <w:spacing w:val="-27"/>
          <w:sz w:val="32"/>
          <w:szCs w:val="32"/>
        </w:rPr>
        <w:t>四、项目绩效情况</w:t>
      </w:r>
      <w:bookmarkEnd w:id="127"/>
      <w:bookmarkEnd w:id="128"/>
    </w:p>
    <w:p w14:paraId="6F5B2E14">
      <w:pPr>
        <w:spacing w:before="192" w:line="227" w:lineRule="auto"/>
        <w:ind w:left="1000"/>
        <w:rPr>
          <w:rFonts w:ascii="楷体" w:hAnsi="楷体" w:eastAsia="楷体" w:cs="楷体"/>
          <w:sz w:val="32"/>
          <w:szCs w:val="32"/>
        </w:rPr>
      </w:pPr>
      <w:r>
        <w:rPr>
          <w:rFonts w:ascii="楷体" w:hAnsi="楷体" w:eastAsia="楷体" w:cs="楷体"/>
          <w:spacing w:val="-9"/>
          <w:sz w:val="32"/>
          <w:szCs w:val="32"/>
        </w:rPr>
        <w:t>(一)项目完成情况</w:t>
      </w:r>
    </w:p>
    <w:p w14:paraId="13FA92B8">
      <w:pPr>
        <w:pStyle w:val="6"/>
        <w:spacing w:before="258" w:line="324" w:lineRule="auto"/>
        <w:ind w:firstLine="870"/>
        <w:jc w:val="both"/>
        <w:rPr>
          <w:sz w:val="32"/>
          <w:szCs w:val="32"/>
        </w:rPr>
      </w:pPr>
      <w:r>
        <w:rPr>
          <w:spacing w:val="-24"/>
          <w:sz w:val="32"/>
          <w:szCs w:val="32"/>
        </w:rPr>
        <w:t>按照厉行节约的要求，严格控制各项支出，确保工作顺</w:t>
      </w:r>
      <w:r>
        <w:rPr>
          <w:spacing w:val="-25"/>
          <w:sz w:val="32"/>
          <w:szCs w:val="32"/>
        </w:rPr>
        <w:t>利进行</w:t>
      </w:r>
      <w:r>
        <w:rPr>
          <w:sz w:val="32"/>
          <w:szCs w:val="32"/>
        </w:rPr>
        <w:t xml:space="preserve"> </w:t>
      </w:r>
      <w:r>
        <w:rPr>
          <w:spacing w:val="-15"/>
          <w:sz w:val="32"/>
          <w:szCs w:val="32"/>
        </w:rPr>
        <w:t>的前提下节约成本。严格执行中央八项规定，项目资金根据项目完</w:t>
      </w:r>
      <w:r>
        <w:rPr>
          <w:spacing w:val="7"/>
          <w:sz w:val="32"/>
          <w:szCs w:val="32"/>
        </w:rPr>
        <w:t xml:space="preserve"> </w:t>
      </w:r>
      <w:r>
        <w:rPr>
          <w:spacing w:val="-11"/>
          <w:sz w:val="32"/>
          <w:szCs w:val="32"/>
        </w:rPr>
        <w:t>成情况及时支付，按年初预算完成全年目标。</w:t>
      </w:r>
    </w:p>
    <w:p w14:paraId="4BBE4083">
      <w:pPr>
        <w:spacing w:before="43" w:line="227" w:lineRule="auto"/>
        <w:ind w:left="870"/>
        <w:rPr>
          <w:rFonts w:ascii="楷体" w:hAnsi="楷体" w:eastAsia="楷体" w:cs="楷体"/>
          <w:sz w:val="32"/>
          <w:szCs w:val="32"/>
        </w:rPr>
      </w:pPr>
      <w:r>
        <w:rPr>
          <w:rFonts w:ascii="楷体" w:hAnsi="楷体" w:eastAsia="楷体" w:cs="楷体"/>
          <w:spacing w:val="-8"/>
          <w:sz w:val="32"/>
          <w:szCs w:val="32"/>
        </w:rPr>
        <w:t>(二)项目效益情况</w:t>
      </w:r>
    </w:p>
    <w:p w14:paraId="3B297099">
      <w:pPr>
        <w:pStyle w:val="6"/>
        <w:spacing w:before="258" w:line="324" w:lineRule="auto"/>
        <w:ind w:firstLine="870"/>
        <w:jc w:val="both"/>
        <w:rPr>
          <w:sz w:val="32"/>
          <w:szCs w:val="32"/>
        </w:rPr>
      </w:pPr>
      <w:r>
        <w:rPr>
          <w:spacing w:val="-13"/>
          <w:sz w:val="32"/>
          <w:szCs w:val="32"/>
        </w:rPr>
        <w:t>从普通国省干线国土空间控制规划采购情况看，内容合理，</w:t>
      </w:r>
      <w:r>
        <w:rPr>
          <w:spacing w:val="6"/>
          <w:sz w:val="32"/>
          <w:szCs w:val="32"/>
        </w:rPr>
        <w:t xml:space="preserve"> </w:t>
      </w:r>
      <w:r>
        <w:rPr>
          <w:spacing w:val="-4"/>
          <w:sz w:val="32"/>
          <w:szCs w:val="32"/>
        </w:rPr>
        <w:t>项目绩效目标合理明晰，符合行政执法落实“三项制度”和“标</w:t>
      </w:r>
      <w:r>
        <w:rPr>
          <w:spacing w:val="10"/>
          <w:sz w:val="32"/>
          <w:szCs w:val="32"/>
        </w:rPr>
        <w:t xml:space="preserve"> </w:t>
      </w:r>
      <w:r>
        <w:rPr>
          <w:spacing w:val="-5"/>
          <w:sz w:val="32"/>
          <w:szCs w:val="32"/>
        </w:rPr>
        <w:t>准化”建设相关政策。从项目管理方面看，资金涉及项目均制定</w:t>
      </w:r>
      <w:r>
        <w:rPr>
          <w:spacing w:val="1"/>
          <w:sz w:val="32"/>
          <w:szCs w:val="32"/>
        </w:rPr>
        <w:t xml:space="preserve"> </w:t>
      </w:r>
      <w:r>
        <w:rPr>
          <w:spacing w:val="-4"/>
          <w:sz w:val="32"/>
          <w:szCs w:val="32"/>
        </w:rPr>
        <w:t>了相应的项目管理、执行制度和方案，制度执行基本规范有效。</w:t>
      </w:r>
      <w:r>
        <w:rPr>
          <w:spacing w:val="10"/>
          <w:sz w:val="32"/>
          <w:szCs w:val="32"/>
        </w:rPr>
        <w:t xml:space="preserve"> </w:t>
      </w:r>
      <w:r>
        <w:rPr>
          <w:spacing w:val="-5"/>
          <w:sz w:val="32"/>
          <w:szCs w:val="32"/>
        </w:rPr>
        <w:t>从项目建设方面看，专项资金所涉及项目均已实施完毕。从项目</w:t>
      </w:r>
      <w:r>
        <w:rPr>
          <w:spacing w:val="1"/>
          <w:sz w:val="32"/>
          <w:szCs w:val="32"/>
        </w:rPr>
        <w:t>实施效果看，项目社会效益显著,可持续影响明显，执法精</w:t>
      </w:r>
      <w:r>
        <w:rPr>
          <w:sz w:val="32"/>
          <w:szCs w:val="32"/>
        </w:rPr>
        <w:t>准度</w:t>
      </w:r>
      <w:r>
        <w:rPr>
          <w:spacing w:val="-4"/>
          <w:sz w:val="32"/>
          <w:szCs w:val="32"/>
        </w:rPr>
        <w:t>和群众满意度、认可度显著提高。</w:t>
      </w:r>
    </w:p>
    <w:p w14:paraId="0982D627">
      <w:pPr>
        <w:spacing w:before="180" w:line="222" w:lineRule="auto"/>
        <w:ind w:left="834"/>
        <w:outlineLvl w:val="1"/>
        <w:rPr>
          <w:rFonts w:ascii="黑体" w:hAnsi="黑体" w:eastAsia="黑体" w:cs="黑体"/>
          <w:sz w:val="32"/>
          <w:szCs w:val="32"/>
        </w:rPr>
      </w:pPr>
      <w:bookmarkStart w:id="129" w:name="_Toc6442"/>
      <w:bookmarkStart w:id="130" w:name="_Toc25159"/>
      <w:r>
        <w:rPr>
          <w:rFonts w:ascii="黑体" w:hAnsi="黑体" w:eastAsia="黑体" w:cs="黑体"/>
          <w:b/>
          <w:bCs/>
          <w:spacing w:val="-26"/>
          <w:sz w:val="32"/>
          <w:szCs w:val="32"/>
        </w:rPr>
        <w:t>五、评价结论及建议</w:t>
      </w:r>
      <w:bookmarkEnd w:id="129"/>
      <w:bookmarkEnd w:id="130"/>
    </w:p>
    <w:p w14:paraId="55DFB122">
      <w:pPr>
        <w:spacing w:before="154" w:line="223" w:lineRule="auto"/>
        <w:ind w:left="939"/>
        <w:rPr>
          <w:rFonts w:ascii="楷体" w:hAnsi="楷体" w:eastAsia="楷体" w:cs="楷体"/>
          <w:sz w:val="32"/>
          <w:szCs w:val="32"/>
        </w:rPr>
      </w:pPr>
      <w:r>
        <w:rPr>
          <w:rFonts w:ascii="楷体" w:hAnsi="楷体" w:eastAsia="楷体" w:cs="楷体"/>
          <w:spacing w:val="-11"/>
          <w:sz w:val="32"/>
          <w:szCs w:val="32"/>
        </w:rPr>
        <w:t>(一)评价结论</w:t>
      </w:r>
    </w:p>
    <w:p w14:paraId="441005AF">
      <w:pPr>
        <w:pStyle w:val="6"/>
        <w:spacing w:before="258" w:line="324" w:lineRule="auto"/>
        <w:ind w:firstLine="870"/>
        <w:jc w:val="both"/>
        <w:rPr>
          <w:sz w:val="32"/>
          <w:szCs w:val="32"/>
        </w:rPr>
      </w:pPr>
      <w:r>
        <w:rPr>
          <w:spacing w:val="-1"/>
          <w:sz w:val="32"/>
          <w:szCs w:val="32"/>
        </w:rPr>
        <w:t>通过开展现场评价、绩效评价研讨会、绩效评价</w:t>
      </w:r>
      <w:r>
        <w:rPr>
          <w:spacing w:val="-2"/>
          <w:sz w:val="32"/>
          <w:szCs w:val="32"/>
        </w:rPr>
        <w:t>市场调查</w:t>
      </w:r>
      <w:r>
        <w:rPr>
          <w:sz w:val="32"/>
          <w:szCs w:val="32"/>
        </w:rPr>
        <w:t xml:space="preserve"> </w:t>
      </w:r>
      <w:r>
        <w:rPr>
          <w:spacing w:val="-5"/>
          <w:sz w:val="32"/>
          <w:szCs w:val="32"/>
        </w:rPr>
        <w:t>等具体工作，普通国省干线国土空间控制规划</w:t>
      </w:r>
      <w:r>
        <w:rPr>
          <w:spacing w:val="-6"/>
          <w:sz w:val="32"/>
          <w:szCs w:val="32"/>
        </w:rPr>
        <w:t>文本编制，内容科</w:t>
      </w:r>
      <w:r>
        <w:rPr>
          <w:sz w:val="32"/>
          <w:szCs w:val="32"/>
        </w:rPr>
        <w:t xml:space="preserve"> </w:t>
      </w:r>
      <w:r>
        <w:rPr>
          <w:spacing w:val="-4"/>
          <w:sz w:val="32"/>
          <w:szCs w:val="32"/>
        </w:rPr>
        <w:t>学合理，对我市破除对外交通瓶颈能提供有效指导。</w:t>
      </w:r>
    </w:p>
    <w:p w14:paraId="46803CE0">
      <w:pPr>
        <w:pStyle w:val="6"/>
        <w:spacing w:before="46" w:line="272" w:lineRule="auto"/>
        <w:ind w:left="849" w:right="5715" w:firstLine="90"/>
        <w:rPr>
          <w:sz w:val="32"/>
          <w:szCs w:val="32"/>
        </w:rPr>
      </w:pPr>
      <w:r>
        <w:rPr>
          <w:rFonts w:ascii="楷体" w:hAnsi="楷体" w:eastAsia="楷体" w:cs="楷体"/>
          <w:spacing w:val="-10"/>
          <w:sz w:val="32"/>
          <w:szCs w:val="32"/>
        </w:rPr>
        <w:t>(二)存在的问题</w:t>
      </w:r>
      <w:r>
        <w:rPr>
          <w:rFonts w:ascii="楷体" w:hAnsi="楷体" w:eastAsia="楷体" w:cs="楷体"/>
          <w:spacing w:val="6"/>
          <w:sz w:val="32"/>
          <w:szCs w:val="32"/>
        </w:rPr>
        <w:t xml:space="preserve"> </w:t>
      </w:r>
      <w:r>
        <w:rPr>
          <w:sz w:val="32"/>
          <w:szCs w:val="32"/>
        </w:rPr>
        <w:t>无</w:t>
      </w:r>
    </w:p>
    <w:p w14:paraId="5A366CDB">
      <w:pPr>
        <w:pStyle w:val="6"/>
        <w:spacing w:before="187" w:line="272" w:lineRule="auto"/>
        <w:ind w:left="849" w:right="6031" w:firstLine="90"/>
        <w:rPr>
          <w:sz w:val="32"/>
          <w:szCs w:val="32"/>
        </w:rPr>
      </w:pPr>
      <w:r>
        <w:rPr>
          <w:rFonts w:ascii="楷体" w:hAnsi="楷体" w:eastAsia="楷体" w:cs="楷体"/>
          <w:spacing w:val="-10"/>
          <w:sz w:val="32"/>
          <w:szCs w:val="32"/>
        </w:rPr>
        <w:t>(三)相关建议</w:t>
      </w:r>
      <w:r>
        <w:rPr>
          <w:rFonts w:ascii="楷体" w:hAnsi="楷体" w:eastAsia="楷体" w:cs="楷体"/>
          <w:sz w:val="32"/>
          <w:szCs w:val="32"/>
        </w:rPr>
        <w:t xml:space="preserve"> </w:t>
      </w:r>
      <w:r>
        <w:rPr>
          <w:sz w:val="32"/>
          <w:szCs w:val="32"/>
        </w:rPr>
        <w:t>无</w:t>
      </w:r>
    </w:p>
    <w:p w14:paraId="33C64A68">
      <w:pPr>
        <w:spacing w:line="272" w:lineRule="auto"/>
        <w:rPr>
          <w:sz w:val="32"/>
          <w:szCs w:val="32"/>
        </w:rPr>
        <w:sectPr>
          <w:footerReference r:id="rId10" w:type="default"/>
          <w:pgSz w:w="11900" w:h="16830"/>
          <w:pgMar w:top="1430" w:right="1427" w:bottom="400" w:left="1650" w:header="0" w:footer="0" w:gutter="0"/>
          <w:pgNumType w:fmt="decimal"/>
          <w:cols w:space="720" w:num="1"/>
        </w:sectPr>
      </w:pPr>
    </w:p>
    <w:p w14:paraId="4814E1CC">
      <w:pPr>
        <w:spacing w:before="107" w:line="297" w:lineRule="auto"/>
        <w:ind w:left="3469" w:right="598" w:hanging="2720"/>
        <w:outlineLvl w:val="1"/>
        <w:rPr>
          <w:rFonts w:ascii="宋体" w:hAnsi="宋体" w:eastAsia="宋体" w:cs="宋体"/>
          <w:sz w:val="33"/>
          <w:szCs w:val="33"/>
        </w:rPr>
      </w:pPr>
      <w:bookmarkStart w:id="131" w:name="_Toc23098"/>
      <w:bookmarkStart w:id="132" w:name="_Toc10514"/>
      <w:r>
        <w:rPr>
          <w:rFonts w:ascii="宋体" w:hAnsi="宋体" w:eastAsia="宋体" w:cs="宋体"/>
          <w:b/>
          <w:bCs/>
          <w:spacing w:val="-13"/>
          <w:sz w:val="33"/>
          <w:szCs w:val="33"/>
        </w:rPr>
        <w:t>射洪市交通运输局普通国省干线国土空间控制规划项目</w:t>
      </w:r>
      <w:r>
        <w:rPr>
          <w:rFonts w:ascii="宋体" w:hAnsi="宋体" w:eastAsia="宋体" w:cs="宋体"/>
          <w:b/>
          <w:bCs/>
          <w:spacing w:val="-11"/>
          <w:sz w:val="33"/>
          <w:szCs w:val="33"/>
        </w:rPr>
        <w:t>支出绩效自评表</w:t>
      </w:r>
      <w:bookmarkEnd w:id="131"/>
      <w:bookmarkEnd w:id="132"/>
    </w:p>
    <w:p w14:paraId="3B867E6A">
      <w:pPr>
        <w:spacing w:line="209" w:lineRule="auto"/>
        <w:ind w:left="4095"/>
        <w:rPr>
          <w:rFonts w:ascii="宋体" w:hAnsi="宋体" w:eastAsia="宋体" w:cs="宋体"/>
          <w:sz w:val="20"/>
          <w:szCs w:val="20"/>
        </w:rPr>
      </w:pPr>
      <w:r>
        <w:rPr>
          <w:rFonts w:ascii="宋体" w:hAnsi="宋体" w:eastAsia="宋体" w:cs="宋体"/>
          <w:spacing w:val="5"/>
          <w:sz w:val="20"/>
          <w:szCs w:val="20"/>
        </w:rPr>
        <w:t>(2023年度)</w:t>
      </w:r>
    </w:p>
    <w:tbl>
      <w:tblPr>
        <w:tblStyle w:val="40"/>
        <w:tblW w:w="90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499"/>
        <w:gridCol w:w="979"/>
        <w:gridCol w:w="1588"/>
        <w:gridCol w:w="1199"/>
        <w:gridCol w:w="1289"/>
        <w:gridCol w:w="909"/>
        <w:gridCol w:w="1813"/>
      </w:tblGrid>
      <w:tr w14:paraId="6AA92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2232" w:type="dxa"/>
            <w:gridSpan w:val="3"/>
            <w:vAlign w:val="top"/>
          </w:tcPr>
          <w:p w14:paraId="5083E1A8">
            <w:pPr>
              <w:pStyle w:val="39"/>
              <w:spacing w:before="92" w:line="220" w:lineRule="auto"/>
              <w:ind w:left="765"/>
              <w:rPr>
                <w:sz w:val="17"/>
                <w:szCs w:val="17"/>
              </w:rPr>
            </w:pPr>
            <w:r>
              <w:rPr>
                <w:spacing w:val="-2"/>
                <w:sz w:val="17"/>
                <w:szCs w:val="17"/>
              </w:rPr>
              <w:t>项目名称</w:t>
            </w:r>
          </w:p>
        </w:tc>
        <w:tc>
          <w:tcPr>
            <w:tcW w:w="6798" w:type="dxa"/>
            <w:gridSpan w:val="5"/>
            <w:vAlign w:val="top"/>
          </w:tcPr>
          <w:p w14:paraId="3DD4FD91">
            <w:pPr>
              <w:pStyle w:val="39"/>
              <w:spacing w:before="90" w:line="219" w:lineRule="auto"/>
              <w:ind w:left="2282"/>
              <w:rPr>
                <w:sz w:val="17"/>
                <w:szCs w:val="17"/>
              </w:rPr>
            </w:pPr>
            <w:r>
              <w:rPr>
                <w:spacing w:val="2"/>
                <w:sz w:val="17"/>
                <w:szCs w:val="17"/>
              </w:rPr>
              <w:t>国省干线国土空间控制规划项目</w:t>
            </w:r>
          </w:p>
        </w:tc>
      </w:tr>
      <w:tr w14:paraId="134029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Align w:val="top"/>
          </w:tcPr>
          <w:p w14:paraId="2CD0B2D8">
            <w:pPr>
              <w:pStyle w:val="39"/>
              <w:spacing w:before="87" w:line="219" w:lineRule="auto"/>
              <w:ind w:left="594"/>
              <w:rPr>
                <w:sz w:val="17"/>
                <w:szCs w:val="17"/>
              </w:rPr>
            </w:pPr>
            <w:r>
              <w:rPr>
                <w:spacing w:val="3"/>
                <w:sz w:val="17"/>
                <w:szCs w:val="17"/>
              </w:rPr>
              <w:t>项目主管部门</w:t>
            </w:r>
          </w:p>
        </w:tc>
        <w:tc>
          <w:tcPr>
            <w:tcW w:w="2787" w:type="dxa"/>
            <w:gridSpan w:val="2"/>
            <w:vAlign w:val="top"/>
          </w:tcPr>
          <w:p w14:paraId="60E438CB">
            <w:pPr>
              <w:pStyle w:val="39"/>
              <w:spacing w:before="87" w:line="219" w:lineRule="auto"/>
              <w:ind w:left="963"/>
              <w:rPr>
                <w:sz w:val="17"/>
                <w:szCs w:val="17"/>
              </w:rPr>
            </w:pPr>
            <w:r>
              <w:rPr>
                <w:spacing w:val="3"/>
                <w:sz w:val="17"/>
                <w:szCs w:val="17"/>
              </w:rPr>
              <w:t>交通运输局</w:t>
            </w:r>
          </w:p>
        </w:tc>
        <w:tc>
          <w:tcPr>
            <w:tcW w:w="1289" w:type="dxa"/>
            <w:vAlign w:val="top"/>
          </w:tcPr>
          <w:p w14:paraId="60A559D8">
            <w:pPr>
              <w:pStyle w:val="39"/>
              <w:spacing w:before="87" w:line="219" w:lineRule="auto"/>
              <w:ind w:left="126"/>
              <w:rPr>
                <w:sz w:val="17"/>
                <w:szCs w:val="17"/>
              </w:rPr>
            </w:pPr>
            <w:r>
              <w:rPr>
                <w:spacing w:val="1"/>
                <w:sz w:val="17"/>
                <w:szCs w:val="17"/>
              </w:rPr>
              <w:t>资金使用单位</w:t>
            </w:r>
          </w:p>
        </w:tc>
        <w:tc>
          <w:tcPr>
            <w:tcW w:w="2722" w:type="dxa"/>
            <w:gridSpan w:val="2"/>
            <w:vAlign w:val="top"/>
          </w:tcPr>
          <w:p w14:paraId="6F0D07D0">
            <w:pPr>
              <w:pStyle w:val="39"/>
              <w:spacing w:before="87" w:line="219" w:lineRule="auto"/>
              <w:ind w:left="947"/>
              <w:rPr>
                <w:sz w:val="17"/>
                <w:szCs w:val="17"/>
              </w:rPr>
            </w:pPr>
            <w:r>
              <w:rPr>
                <w:spacing w:val="3"/>
                <w:sz w:val="17"/>
                <w:szCs w:val="17"/>
              </w:rPr>
              <w:t>交通运输局</w:t>
            </w:r>
          </w:p>
        </w:tc>
      </w:tr>
      <w:tr w14:paraId="5F5EF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Merge w:val="restart"/>
            <w:tcBorders>
              <w:bottom w:val="nil"/>
            </w:tcBorders>
            <w:vAlign w:val="top"/>
          </w:tcPr>
          <w:p w14:paraId="2DA26B44">
            <w:pPr>
              <w:spacing w:line="269" w:lineRule="auto"/>
              <w:rPr>
                <w:rFonts w:ascii="Arial"/>
                <w:sz w:val="21"/>
              </w:rPr>
            </w:pPr>
          </w:p>
          <w:p w14:paraId="19498058">
            <w:pPr>
              <w:spacing w:line="269" w:lineRule="auto"/>
              <w:rPr>
                <w:rFonts w:ascii="Arial"/>
                <w:sz w:val="21"/>
              </w:rPr>
            </w:pPr>
          </w:p>
          <w:p w14:paraId="35D329E9">
            <w:pPr>
              <w:spacing w:line="269" w:lineRule="auto"/>
              <w:rPr>
                <w:rFonts w:ascii="Arial"/>
                <w:sz w:val="21"/>
              </w:rPr>
            </w:pPr>
          </w:p>
          <w:p w14:paraId="0069CC41">
            <w:pPr>
              <w:pStyle w:val="39"/>
              <w:spacing w:before="55" w:line="220" w:lineRule="auto"/>
              <w:ind w:left="765"/>
              <w:rPr>
                <w:sz w:val="17"/>
                <w:szCs w:val="17"/>
              </w:rPr>
            </w:pPr>
            <w:r>
              <w:rPr>
                <w:spacing w:val="-2"/>
                <w:sz w:val="17"/>
                <w:szCs w:val="17"/>
              </w:rPr>
              <w:t>项目资金</w:t>
            </w:r>
          </w:p>
          <w:p w14:paraId="7481564D">
            <w:pPr>
              <w:pStyle w:val="39"/>
              <w:spacing w:before="27" w:line="220" w:lineRule="auto"/>
              <w:ind w:left="855"/>
              <w:rPr>
                <w:sz w:val="17"/>
                <w:szCs w:val="17"/>
              </w:rPr>
            </w:pPr>
            <w:r>
              <w:rPr>
                <w:spacing w:val="9"/>
                <w:sz w:val="17"/>
                <w:szCs w:val="17"/>
              </w:rPr>
              <w:t>(万元)</w:t>
            </w:r>
          </w:p>
        </w:tc>
        <w:tc>
          <w:tcPr>
            <w:tcW w:w="1588" w:type="dxa"/>
            <w:vAlign w:val="top"/>
          </w:tcPr>
          <w:p w14:paraId="2576541E">
            <w:pPr>
              <w:rPr>
                <w:rFonts w:ascii="Arial"/>
                <w:sz w:val="21"/>
              </w:rPr>
            </w:pPr>
          </w:p>
        </w:tc>
        <w:tc>
          <w:tcPr>
            <w:tcW w:w="1199" w:type="dxa"/>
            <w:vAlign w:val="top"/>
          </w:tcPr>
          <w:p w14:paraId="265A78BE">
            <w:pPr>
              <w:pStyle w:val="39"/>
              <w:spacing w:before="87" w:line="219" w:lineRule="auto"/>
              <w:ind w:left="165"/>
              <w:rPr>
                <w:sz w:val="17"/>
                <w:szCs w:val="17"/>
              </w:rPr>
            </w:pPr>
            <w:r>
              <w:rPr>
                <w:spacing w:val="-2"/>
                <w:sz w:val="17"/>
                <w:szCs w:val="17"/>
              </w:rPr>
              <w:t>全年预算数</w:t>
            </w:r>
          </w:p>
        </w:tc>
        <w:tc>
          <w:tcPr>
            <w:tcW w:w="2198" w:type="dxa"/>
            <w:gridSpan w:val="2"/>
            <w:vAlign w:val="top"/>
          </w:tcPr>
          <w:p w14:paraId="75539A66">
            <w:pPr>
              <w:pStyle w:val="39"/>
              <w:spacing w:before="87" w:line="219" w:lineRule="auto"/>
              <w:ind w:left="666"/>
              <w:rPr>
                <w:sz w:val="17"/>
                <w:szCs w:val="17"/>
              </w:rPr>
            </w:pPr>
            <w:r>
              <w:rPr>
                <w:spacing w:val="-2"/>
                <w:sz w:val="17"/>
                <w:szCs w:val="17"/>
              </w:rPr>
              <w:t>全年执行数</w:t>
            </w:r>
          </w:p>
        </w:tc>
        <w:tc>
          <w:tcPr>
            <w:tcW w:w="1813" w:type="dxa"/>
            <w:vAlign w:val="top"/>
          </w:tcPr>
          <w:p w14:paraId="34C422E6">
            <w:pPr>
              <w:pStyle w:val="39"/>
              <w:spacing w:before="87" w:line="219" w:lineRule="auto"/>
              <w:ind w:left="478"/>
              <w:rPr>
                <w:sz w:val="17"/>
                <w:szCs w:val="17"/>
              </w:rPr>
            </w:pPr>
            <w:r>
              <w:rPr>
                <w:spacing w:val="-2"/>
                <w:sz w:val="17"/>
                <w:szCs w:val="17"/>
              </w:rPr>
              <w:t>预算执行率</w:t>
            </w:r>
          </w:p>
        </w:tc>
      </w:tr>
      <w:tr w14:paraId="22B8F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Merge w:val="continue"/>
            <w:tcBorders>
              <w:top w:val="nil"/>
              <w:bottom w:val="nil"/>
            </w:tcBorders>
            <w:vAlign w:val="top"/>
          </w:tcPr>
          <w:p w14:paraId="7B9C8079">
            <w:pPr>
              <w:rPr>
                <w:rFonts w:ascii="Arial"/>
                <w:sz w:val="21"/>
              </w:rPr>
            </w:pPr>
          </w:p>
        </w:tc>
        <w:tc>
          <w:tcPr>
            <w:tcW w:w="1588" w:type="dxa"/>
            <w:vAlign w:val="top"/>
          </w:tcPr>
          <w:p w14:paraId="1D7CE8DA">
            <w:pPr>
              <w:pStyle w:val="39"/>
              <w:spacing w:before="87" w:line="219" w:lineRule="auto"/>
              <w:ind w:left="93"/>
              <w:rPr>
                <w:sz w:val="17"/>
                <w:szCs w:val="17"/>
              </w:rPr>
            </w:pPr>
            <w:r>
              <w:rPr>
                <w:spacing w:val="-1"/>
                <w:sz w:val="17"/>
                <w:szCs w:val="17"/>
              </w:rPr>
              <w:t>年度资金总额：</w:t>
            </w:r>
          </w:p>
        </w:tc>
        <w:tc>
          <w:tcPr>
            <w:tcW w:w="1199" w:type="dxa"/>
            <w:vAlign w:val="top"/>
          </w:tcPr>
          <w:p w14:paraId="6566621C">
            <w:pPr>
              <w:pStyle w:val="39"/>
              <w:spacing w:before="130" w:line="183" w:lineRule="auto"/>
              <w:ind w:left="504"/>
              <w:rPr>
                <w:sz w:val="17"/>
                <w:szCs w:val="17"/>
              </w:rPr>
            </w:pPr>
            <w:r>
              <w:rPr>
                <w:spacing w:val="-2"/>
                <w:sz w:val="17"/>
                <w:szCs w:val="17"/>
              </w:rPr>
              <w:t>80</w:t>
            </w:r>
          </w:p>
        </w:tc>
        <w:tc>
          <w:tcPr>
            <w:tcW w:w="2198" w:type="dxa"/>
            <w:gridSpan w:val="2"/>
            <w:vAlign w:val="top"/>
          </w:tcPr>
          <w:p w14:paraId="118AEE50">
            <w:pPr>
              <w:pStyle w:val="39"/>
              <w:spacing w:before="130" w:line="183" w:lineRule="auto"/>
              <w:ind w:left="1006"/>
              <w:rPr>
                <w:sz w:val="17"/>
                <w:szCs w:val="17"/>
              </w:rPr>
            </w:pPr>
            <w:r>
              <w:rPr>
                <w:spacing w:val="-2"/>
                <w:sz w:val="17"/>
                <w:szCs w:val="17"/>
              </w:rPr>
              <w:t>80</w:t>
            </w:r>
          </w:p>
        </w:tc>
        <w:tc>
          <w:tcPr>
            <w:tcW w:w="1813" w:type="dxa"/>
            <w:vAlign w:val="top"/>
          </w:tcPr>
          <w:p w14:paraId="66115714">
            <w:pPr>
              <w:pStyle w:val="39"/>
              <w:spacing w:before="130" w:line="184" w:lineRule="auto"/>
              <w:ind w:left="98"/>
              <w:rPr>
                <w:sz w:val="17"/>
                <w:szCs w:val="17"/>
              </w:rPr>
            </w:pPr>
            <w:r>
              <w:rPr>
                <w:spacing w:val="-4"/>
                <w:sz w:val="17"/>
                <w:szCs w:val="17"/>
              </w:rPr>
              <w:t>100%</w:t>
            </w:r>
          </w:p>
        </w:tc>
      </w:tr>
      <w:tr w14:paraId="5991D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Merge w:val="continue"/>
            <w:tcBorders>
              <w:top w:val="nil"/>
              <w:bottom w:val="nil"/>
            </w:tcBorders>
            <w:vAlign w:val="top"/>
          </w:tcPr>
          <w:p w14:paraId="5A321BAF">
            <w:pPr>
              <w:rPr>
                <w:rFonts w:ascii="Arial"/>
                <w:sz w:val="21"/>
              </w:rPr>
            </w:pPr>
          </w:p>
        </w:tc>
        <w:tc>
          <w:tcPr>
            <w:tcW w:w="1588" w:type="dxa"/>
            <w:vAlign w:val="top"/>
          </w:tcPr>
          <w:p w14:paraId="6A99D5D7">
            <w:pPr>
              <w:pStyle w:val="39"/>
              <w:spacing w:before="87" w:line="219" w:lineRule="auto"/>
              <w:jc w:val="right"/>
              <w:rPr>
                <w:sz w:val="17"/>
                <w:szCs w:val="17"/>
              </w:rPr>
            </w:pPr>
            <w:r>
              <w:rPr>
                <w:spacing w:val="-3"/>
                <w:sz w:val="17"/>
                <w:szCs w:val="17"/>
              </w:rPr>
              <w:t>其中：中央、省补助</w:t>
            </w:r>
          </w:p>
        </w:tc>
        <w:tc>
          <w:tcPr>
            <w:tcW w:w="1199" w:type="dxa"/>
            <w:vAlign w:val="top"/>
          </w:tcPr>
          <w:p w14:paraId="6196628A">
            <w:pPr>
              <w:rPr>
                <w:rFonts w:ascii="Arial"/>
                <w:sz w:val="21"/>
              </w:rPr>
            </w:pPr>
          </w:p>
        </w:tc>
        <w:tc>
          <w:tcPr>
            <w:tcW w:w="2198" w:type="dxa"/>
            <w:gridSpan w:val="2"/>
            <w:vAlign w:val="top"/>
          </w:tcPr>
          <w:p w14:paraId="572AB0A2">
            <w:pPr>
              <w:rPr>
                <w:rFonts w:ascii="Arial"/>
                <w:sz w:val="21"/>
              </w:rPr>
            </w:pPr>
          </w:p>
        </w:tc>
        <w:tc>
          <w:tcPr>
            <w:tcW w:w="1813" w:type="dxa"/>
            <w:vAlign w:val="top"/>
          </w:tcPr>
          <w:p w14:paraId="5BBDE4BB">
            <w:pPr>
              <w:rPr>
                <w:rFonts w:ascii="Arial"/>
                <w:sz w:val="21"/>
              </w:rPr>
            </w:pPr>
          </w:p>
        </w:tc>
      </w:tr>
      <w:tr w14:paraId="7CDA1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Merge w:val="continue"/>
            <w:tcBorders>
              <w:top w:val="nil"/>
              <w:bottom w:val="nil"/>
            </w:tcBorders>
            <w:vAlign w:val="top"/>
          </w:tcPr>
          <w:p w14:paraId="4166494B">
            <w:pPr>
              <w:rPr>
                <w:rFonts w:ascii="Arial"/>
                <w:sz w:val="21"/>
              </w:rPr>
            </w:pPr>
          </w:p>
        </w:tc>
        <w:tc>
          <w:tcPr>
            <w:tcW w:w="1588" w:type="dxa"/>
            <w:vAlign w:val="top"/>
          </w:tcPr>
          <w:p w14:paraId="2A4E86D8">
            <w:pPr>
              <w:pStyle w:val="39"/>
              <w:spacing w:before="87" w:line="219" w:lineRule="auto"/>
              <w:ind w:left="103"/>
              <w:rPr>
                <w:sz w:val="17"/>
                <w:szCs w:val="17"/>
              </w:rPr>
            </w:pPr>
            <w:r>
              <w:rPr>
                <w:spacing w:val="-2"/>
                <w:sz w:val="17"/>
                <w:szCs w:val="17"/>
              </w:rPr>
              <w:t>市级财政资金</w:t>
            </w:r>
          </w:p>
        </w:tc>
        <w:tc>
          <w:tcPr>
            <w:tcW w:w="1199" w:type="dxa"/>
            <w:vAlign w:val="top"/>
          </w:tcPr>
          <w:p w14:paraId="200B0FF5">
            <w:pPr>
              <w:rPr>
                <w:rFonts w:ascii="Arial"/>
                <w:sz w:val="21"/>
              </w:rPr>
            </w:pPr>
          </w:p>
        </w:tc>
        <w:tc>
          <w:tcPr>
            <w:tcW w:w="2198" w:type="dxa"/>
            <w:gridSpan w:val="2"/>
            <w:vAlign w:val="top"/>
          </w:tcPr>
          <w:p w14:paraId="088A6F7D">
            <w:pPr>
              <w:rPr>
                <w:rFonts w:ascii="Arial"/>
                <w:sz w:val="21"/>
              </w:rPr>
            </w:pPr>
          </w:p>
        </w:tc>
        <w:tc>
          <w:tcPr>
            <w:tcW w:w="1813" w:type="dxa"/>
            <w:vAlign w:val="top"/>
          </w:tcPr>
          <w:p w14:paraId="22B92AB2">
            <w:pPr>
              <w:rPr>
                <w:rFonts w:ascii="Arial"/>
                <w:sz w:val="21"/>
              </w:rPr>
            </w:pPr>
          </w:p>
        </w:tc>
      </w:tr>
      <w:tr w14:paraId="114679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32" w:type="dxa"/>
            <w:gridSpan w:val="3"/>
            <w:vMerge w:val="continue"/>
            <w:tcBorders>
              <w:top w:val="nil"/>
              <w:bottom w:val="nil"/>
            </w:tcBorders>
            <w:vAlign w:val="top"/>
          </w:tcPr>
          <w:p w14:paraId="26C43ED1">
            <w:pPr>
              <w:rPr>
                <w:rFonts w:ascii="Arial"/>
                <w:sz w:val="21"/>
              </w:rPr>
            </w:pPr>
          </w:p>
        </w:tc>
        <w:tc>
          <w:tcPr>
            <w:tcW w:w="1588" w:type="dxa"/>
            <w:vAlign w:val="top"/>
          </w:tcPr>
          <w:p w14:paraId="17206665">
            <w:pPr>
              <w:pStyle w:val="39"/>
              <w:spacing w:before="87" w:line="221" w:lineRule="auto"/>
              <w:ind w:left="413"/>
              <w:rPr>
                <w:sz w:val="17"/>
                <w:szCs w:val="17"/>
              </w:rPr>
            </w:pPr>
            <w:r>
              <w:rPr>
                <w:spacing w:val="-2"/>
                <w:sz w:val="17"/>
                <w:szCs w:val="17"/>
              </w:rPr>
              <w:t>县级财政资金</w:t>
            </w:r>
          </w:p>
        </w:tc>
        <w:tc>
          <w:tcPr>
            <w:tcW w:w="1199" w:type="dxa"/>
            <w:vAlign w:val="top"/>
          </w:tcPr>
          <w:p w14:paraId="62A1823A">
            <w:pPr>
              <w:pStyle w:val="39"/>
              <w:spacing w:before="130" w:line="183" w:lineRule="auto"/>
              <w:ind w:left="504"/>
              <w:rPr>
                <w:sz w:val="17"/>
                <w:szCs w:val="17"/>
              </w:rPr>
            </w:pPr>
            <w:r>
              <w:rPr>
                <w:spacing w:val="-2"/>
                <w:sz w:val="17"/>
                <w:szCs w:val="17"/>
              </w:rPr>
              <w:t>80</w:t>
            </w:r>
          </w:p>
        </w:tc>
        <w:tc>
          <w:tcPr>
            <w:tcW w:w="2198" w:type="dxa"/>
            <w:gridSpan w:val="2"/>
            <w:vAlign w:val="top"/>
          </w:tcPr>
          <w:p w14:paraId="13EA3A31">
            <w:pPr>
              <w:pStyle w:val="39"/>
              <w:spacing w:before="130" w:line="183" w:lineRule="auto"/>
              <w:ind w:left="1006"/>
              <w:rPr>
                <w:sz w:val="17"/>
                <w:szCs w:val="17"/>
              </w:rPr>
            </w:pPr>
            <w:r>
              <w:rPr>
                <w:spacing w:val="-2"/>
                <w:sz w:val="17"/>
                <w:szCs w:val="17"/>
              </w:rPr>
              <w:t>80</w:t>
            </w:r>
          </w:p>
        </w:tc>
        <w:tc>
          <w:tcPr>
            <w:tcW w:w="1813" w:type="dxa"/>
            <w:vAlign w:val="top"/>
          </w:tcPr>
          <w:p w14:paraId="32185DD2">
            <w:pPr>
              <w:pStyle w:val="39"/>
              <w:spacing w:before="129" w:line="184" w:lineRule="auto"/>
              <w:ind w:left="118"/>
              <w:rPr>
                <w:sz w:val="17"/>
                <w:szCs w:val="17"/>
              </w:rPr>
            </w:pPr>
            <w:r>
              <w:rPr>
                <w:spacing w:val="-4"/>
                <w:sz w:val="17"/>
                <w:szCs w:val="17"/>
              </w:rPr>
              <w:t>100%</w:t>
            </w:r>
          </w:p>
        </w:tc>
      </w:tr>
      <w:tr w14:paraId="3A30B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2232" w:type="dxa"/>
            <w:gridSpan w:val="3"/>
            <w:vMerge w:val="continue"/>
            <w:tcBorders>
              <w:top w:val="nil"/>
            </w:tcBorders>
            <w:vAlign w:val="top"/>
          </w:tcPr>
          <w:p w14:paraId="70A8F6BA">
            <w:pPr>
              <w:rPr>
                <w:rFonts w:ascii="Arial"/>
                <w:sz w:val="21"/>
              </w:rPr>
            </w:pPr>
          </w:p>
        </w:tc>
        <w:tc>
          <w:tcPr>
            <w:tcW w:w="1588" w:type="dxa"/>
            <w:vAlign w:val="top"/>
          </w:tcPr>
          <w:p w14:paraId="29F0DE96">
            <w:pPr>
              <w:pStyle w:val="39"/>
              <w:spacing w:before="97" w:line="220" w:lineRule="auto"/>
              <w:ind w:left="403"/>
              <w:rPr>
                <w:sz w:val="17"/>
                <w:szCs w:val="17"/>
              </w:rPr>
            </w:pPr>
            <w:r>
              <w:rPr>
                <w:spacing w:val="-2"/>
                <w:sz w:val="17"/>
                <w:szCs w:val="17"/>
              </w:rPr>
              <w:t>其他资金</w:t>
            </w:r>
          </w:p>
        </w:tc>
        <w:tc>
          <w:tcPr>
            <w:tcW w:w="1199" w:type="dxa"/>
            <w:vAlign w:val="top"/>
          </w:tcPr>
          <w:p w14:paraId="4F047000">
            <w:pPr>
              <w:rPr>
                <w:rFonts w:ascii="Arial"/>
                <w:sz w:val="21"/>
              </w:rPr>
            </w:pPr>
          </w:p>
        </w:tc>
        <w:tc>
          <w:tcPr>
            <w:tcW w:w="2198" w:type="dxa"/>
            <w:gridSpan w:val="2"/>
            <w:vAlign w:val="top"/>
          </w:tcPr>
          <w:p w14:paraId="1F988088">
            <w:pPr>
              <w:rPr>
                <w:rFonts w:ascii="Arial"/>
                <w:sz w:val="21"/>
              </w:rPr>
            </w:pPr>
          </w:p>
        </w:tc>
        <w:tc>
          <w:tcPr>
            <w:tcW w:w="1813" w:type="dxa"/>
            <w:vAlign w:val="top"/>
          </w:tcPr>
          <w:p w14:paraId="4C7CC334">
            <w:pPr>
              <w:rPr>
                <w:rFonts w:ascii="Arial"/>
                <w:sz w:val="21"/>
              </w:rPr>
            </w:pPr>
          </w:p>
        </w:tc>
      </w:tr>
      <w:tr w14:paraId="6E01C1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754" w:type="dxa"/>
            <w:vMerge w:val="restart"/>
            <w:tcBorders>
              <w:bottom w:val="nil"/>
            </w:tcBorders>
            <w:vAlign w:val="top"/>
          </w:tcPr>
          <w:p w14:paraId="5A91C97A">
            <w:pPr>
              <w:pStyle w:val="39"/>
              <w:spacing w:before="179" w:line="257" w:lineRule="auto"/>
              <w:ind w:left="115" w:right="86"/>
              <w:jc w:val="both"/>
              <w:rPr>
                <w:sz w:val="17"/>
                <w:szCs w:val="17"/>
              </w:rPr>
            </w:pPr>
            <w:r>
              <w:rPr>
                <w:spacing w:val="10"/>
                <w:sz w:val="17"/>
                <w:szCs w:val="17"/>
              </w:rPr>
              <w:t>总体目</w:t>
            </w:r>
            <w:r>
              <w:rPr>
                <w:spacing w:val="1"/>
                <w:sz w:val="17"/>
                <w:szCs w:val="17"/>
              </w:rPr>
              <w:t xml:space="preserve"> </w:t>
            </w:r>
            <w:r>
              <w:rPr>
                <w:spacing w:val="-3"/>
                <w:sz w:val="17"/>
                <w:szCs w:val="17"/>
              </w:rPr>
              <w:t>标完成</w:t>
            </w:r>
            <w:r>
              <w:rPr>
                <w:sz w:val="17"/>
                <w:szCs w:val="17"/>
              </w:rPr>
              <w:t xml:space="preserve"> </w:t>
            </w:r>
            <w:r>
              <w:rPr>
                <w:spacing w:val="36"/>
                <w:sz w:val="17"/>
                <w:szCs w:val="17"/>
              </w:rPr>
              <w:t>情况</w:t>
            </w:r>
          </w:p>
        </w:tc>
        <w:tc>
          <w:tcPr>
            <w:tcW w:w="4265" w:type="dxa"/>
            <w:gridSpan w:val="4"/>
            <w:vAlign w:val="top"/>
          </w:tcPr>
          <w:p w14:paraId="3046AFF5">
            <w:pPr>
              <w:pStyle w:val="39"/>
              <w:spacing w:before="88" w:line="220" w:lineRule="auto"/>
              <w:ind w:left="1781"/>
              <w:rPr>
                <w:sz w:val="17"/>
                <w:szCs w:val="17"/>
              </w:rPr>
            </w:pPr>
            <w:r>
              <w:rPr>
                <w:spacing w:val="-3"/>
                <w:sz w:val="17"/>
                <w:szCs w:val="17"/>
              </w:rPr>
              <w:t>总体目标</w:t>
            </w:r>
          </w:p>
        </w:tc>
        <w:tc>
          <w:tcPr>
            <w:tcW w:w="4011" w:type="dxa"/>
            <w:gridSpan w:val="3"/>
            <w:vAlign w:val="top"/>
          </w:tcPr>
          <w:p w14:paraId="0419610E">
            <w:pPr>
              <w:pStyle w:val="39"/>
              <w:spacing w:before="88" w:line="219" w:lineRule="auto"/>
              <w:ind w:left="1316"/>
              <w:rPr>
                <w:sz w:val="17"/>
                <w:szCs w:val="17"/>
              </w:rPr>
            </w:pPr>
            <w:r>
              <w:rPr>
                <w:spacing w:val="-1"/>
                <w:sz w:val="17"/>
                <w:szCs w:val="17"/>
              </w:rPr>
              <w:t>全年实际完成情况</w:t>
            </w:r>
          </w:p>
        </w:tc>
      </w:tr>
      <w:tr w14:paraId="7389C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754" w:type="dxa"/>
            <w:vMerge w:val="continue"/>
            <w:tcBorders>
              <w:top w:val="nil"/>
            </w:tcBorders>
            <w:vAlign w:val="top"/>
          </w:tcPr>
          <w:p w14:paraId="7A2E7A27">
            <w:pPr>
              <w:rPr>
                <w:rFonts w:ascii="Arial"/>
                <w:sz w:val="21"/>
              </w:rPr>
            </w:pPr>
          </w:p>
        </w:tc>
        <w:tc>
          <w:tcPr>
            <w:tcW w:w="4265" w:type="dxa"/>
            <w:gridSpan w:val="4"/>
            <w:vAlign w:val="top"/>
          </w:tcPr>
          <w:p w14:paraId="18268DB5">
            <w:pPr>
              <w:pStyle w:val="39"/>
              <w:spacing w:before="116" w:line="218" w:lineRule="auto"/>
              <w:ind w:right="1"/>
              <w:jc w:val="right"/>
              <w:rPr>
                <w:sz w:val="17"/>
                <w:szCs w:val="17"/>
              </w:rPr>
            </w:pPr>
            <w:r>
              <w:rPr>
                <w:spacing w:val="-1"/>
                <w:sz w:val="17"/>
                <w:szCs w:val="17"/>
              </w:rPr>
              <w:t>按照合同价80万元支付普通国省于线国土空间控制规划项</w:t>
            </w:r>
          </w:p>
          <w:p w14:paraId="14816752">
            <w:pPr>
              <w:pStyle w:val="39"/>
              <w:spacing w:before="50" w:line="219" w:lineRule="auto"/>
              <w:ind w:left="551"/>
              <w:rPr>
                <w:sz w:val="17"/>
                <w:szCs w:val="17"/>
              </w:rPr>
            </w:pPr>
            <w:r>
              <w:rPr>
                <w:spacing w:val="-1"/>
                <w:sz w:val="17"/>
                <w:szCs w:val="17"/>
              </w:rPr>
              <w:t>目费用，解决交通线性工程土地制约瓶颈。</w:t>
            </w:r>
          </w:p>
        </w:tc>
        <w:tc>
          <w:tcPr>
            <w:tcW w:w="4011" w:type="dxa"/>
            <w:gridSpan w:val="3"/>
            <w:vAlign w:val="top"/>
          </w:tcPr>
          <w:p w14:paraId="3837B44E">
            <w:pPr>
              <w:pStyle w:val="39"/>
              <w:spacing w:before="246" w:line="219" w:lineRule="auto"/>
              <w:ind w:left="975"/>
              <w:rPr>
                <w:sz w:val="17"/>
                <w:szCs w:val="17"/>
              </w:rPr>
            </w:pPr>
            <w:r>
              <w:rPr>
                <w:spacing w:val="-1"/>
                <w:sz w:val="17"/>
                <w:szCs w:val="17"/>
              </w:rPr>
              <w:t>按计划进度完成采购、支付</w:t>
            </w:r>
          </w:p>
        </w:tc>
      </w:tr>
      <w:tr w14:paraId="4E1F1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754" w:type="dxa"/>
            <w:vMerge w:val="restart"/>
            <w:tcBorders>
              <w:bottom w:val="nil"/>
            </w:tcBorders>
            <w:textDirection w:val="tbRlV"/>
            <w:vAlign w:val="top"/>
          </w:tcPr>
          <w:p w14:paraId="284BE355">
            <w:pPr>
              <w:pStyle w:val="39"/>
              <w:spacing w:before="294" w:line="202" w:lineRule="auto"/>
              <w:ind w:left="2943"/>
              <w:rPr>
                <w:sz w:val="17"/>
                <w:szCs w:val="17"/>
              </w:rPr>
            </w:pPr>
            <w:r>
              <w:rPr>
                <w:sz w:val="17"/>
                <w:szCs w:val="17"/>
              </w:rPr>
              <w:t>绩效指标</w:t>
            </w:r>
          </w:p>
        </w:tc>
        <w:tc>
          <w:tcPr>
            <w:tcW w:w="499" w:type="dxa"/>
            <w:textDirection w:val="tbRlV"/>
            <w:vAlign w:val="top"/>
          </w:tcPr>
          <w:p w14:paraId="39B8344F">
            <w:pPr>
              <w:pStyle w:val="39"/>
              <w:spacing w:before="194" w:line="201" w:lineRule="auto"/>
              <w:ind w:left="21"/>
              <w:rPr>
                <w:sz w:val="17"/>
                <w:szCs w:val="17"/>
              </w:rPr>
            </w:pPr>
            <w:r>
              <w:rPr>
                <w:sz w:val="17"/>
                <w:szCs w:val="17"/>
              </w:rPr>
              <w:t>级</w:t>
            </w:r>
            <w:r>
              <w:rPr>
                <w:spacing w:val="16"/>
                <w:sz w:val="17"/>
                <w:szCs w:val="17"/>
              </w:rPr>
              <w:t xml:space="preserve">  </w:t>
            </w:r>
            <w:r>
              <w:rPr>
                <w:sz w:val="17"/>
                <w:szCs w:val="17"/>
              </w:rPr>
              <w:t>指</w:t>
            </w:r>
            <w:r>
              <w:rPr>
                <w:spacing w:val="16"/>
                <w:sz w:val="17"/>
                <w:szCs w:val="17"/>
              </w:rPr>
              <w:t xml:space="preserve">  </w:t>
            </w:r>
            <w:r>
              <w:rPr>
                <w:sz w:val="17"/>
                <w:szCs w:val="17"/>
              </w:rPr>
              <w:t>标</w:t>
            </w:r>
          </w:p>
        </w:tc>
        <w:tc>
          <w:tcPr>
            <w:tcW w:w="979" w:type="dxa"/>
            <w:vAlign w:val="top"/>
          </w:tcPr>
          <w:p w14:paraId="56395654">
            <w:pPr>
              <w:spacing w:line="352" w:lineRule="auto"/>
              <w:rPr>
                <w:rFonts w:ascii="Arial"/>
                <w:sz w:val="21"/>
              </w:rPr>
            </w:pPr>
          </w:p>
          <w:p w14:paraId="265CB2E5">
            <w:pPr>
              <w:pStyle w:val="39"/>
              <w:spacing w:before="55" w:line="220" w:lineRule="auto"/>
              <w:ind w:left="142"/>
              <w:rPr>
                <w:sz w:val="17"/>
                <w:szCs w:val="17"/>
              </w:rPr>
            </w:pPr>
            <w:r>
              <w:rPr>
                <w:spacing w:val="-2"/>
                <w:sz w:val="17"/>
                <w:szCs w:val="17"/>
              </w:rPr>
              <w:t>二级指标</w:t>
            </w:r>
          </w:p>
        </w:tc>
        <w:tc>
          <w:tcPr>
            <w:tcW w:w="2787" w:type="dxa"/>
            <w:gridSpan w:val="2"/>
            <w:vAlign w:val="top"/>
          </w:tcPr>
          <w:p w14:paraId="61A74900">
            <w:pPr>
              <w:spacing w:line="352" w:lineRule="auto"/>
              <w:rPr>
                <w:rFonts w:ascii="Arial"/>
                <w:sz w:val="21"/>
              </w:rPr>
            </w:pPr>
          </w:p>
          <w:p w14:paraId="2EE0F6F0">
            <w:pPr>
              <w:pStyle w:val="39"/>
              <w:spacing w:before="55" w:line="220" w:lineRule="auto"/>
              <w:ind w:left="1043"/>
              <w:rPr>
                <w:sz w:val="17"/>
                <w:szCs w:val="17"/>
              </w:rPr>
            </w:pPr>
            <w:r>
              <w:rPr>
                <w:spacing w:val="-2"/>
                <w:sz w:val="17"/>
                <w:szCs w:val="17"/>
              </w:rPr>
              <w:t>三级指标</w:t>
            </w:r>
          </w:p>
        </w:tc>
        <w:tc>
          <w:tcPr>
            <w:tcW w:w="1289" w:type="dxa"/>
            <w:vAlign w:val="top"/>
          </w:tcPr>
          <w:p w14:paraId="481CB6D6">
            <w:pPr>
              <w:spacing w:line="351" w:lineRule="auto"/>
              <w:rPr>
                <w:rFonts w:ascii="Arial"/>
                <w:sz w:val="21"/>
              </w:rPr>
            </w:pPr>
          </w:p>
          <w:p w14:paraId="79DA9BAC">
            <w:pPr>
              <w:pStyle w:val="39"/>
              <w:spacing w:before="56" w:line="219" w:lineRule="auto"/>
              <w:ind w:left="385"/>
              <w:rPr>
                <w:sz w:val="17"/>
                <w:szCs w:val="17"/>
              </w:rPr>
            </w:pPr>
            <w:r>
              <w:rPr>
                <w:spacing w:val="-2"/>
                <w:sz w:val="17"/>
                <w:szCs w:val="17"/>
              </w:rPr>
              <w:t>指标值</w:t>
            </w:r>
          </w:p>
        </w:tc>
        <w:tc>
          <w:tcPr>
            <w:tcW w:w="909" w:type="dxa"/>
            <w:vAlign w:val="top"/>
          </w:tcPr>
          <w:p w14:paraId="78495454">
            <w:pPr>
              <w:pStyle w:val="39"/>
              <w:spacing w:before="259" w:line="219" w:lineRule="auto"/>
              <w:ind w:left="107"/>
              <w:rPr>
                <w:sz w:val="17"/>
                <w:szCs w:val="17"/>
              </w:rPr>
            </w:pPr>
            <w:r>
              <w:rPr>
                <w:spacing w:val="-2"/>
                <w:sz w:val="17"/>
                <w:szCs w:val="17"/>
              </w:rPr>
              <w:t>全年实际</w:t>
            </w:r>
          </w:p>
          <w:p w14:paraId="7AE98149">
            <w:pPr>
              <w:pStyle w:val="39"/>
              <w:spacing w:before="58" w:line="219" w:lineRule="auto"/>
              <w:ind w:left="197"/>
              <w:rPr>
                <w:sz w:val="17"/>
                <w:szCs w:val="17"/>
              </w:rPr>
            </w:pPr>
            <w:r>
              <w:rPr>
                <w:spacing w:val="-2"/>
                <w:sz w:val="17"/>
                <w:szCs w:val="17"/>
              </w:rPr>
              <w:t>完成值</w:t>
            </w:r>
          </w:p>
        </w:tc>
        <w:tc>
          <w:tcPr>
            <w:tcW w:w="1813" w:type="dxa"/>
            <w:vAlign w:val="top"/>
          </w:tcPr>
          <w:p w14:paraId="09BC25DB">
            <w:pPr>
              <w:pStyle w:val="39"/>
              <w:spacing w:before="267" w:line="274" w:lineRule="auto"/>
              <w:ind w:left="818" w:right="144" w:hanging="680"/>
              <w:rPr>
                <w:sz w:val="17"/>
                <w:szCs w:val="17"/>
              </w:rPr>
            </w:pPr>
            <w:r>
              <w:rPr>
                <w:spacing w:val="-2"/>
                <w:sz w:val="17"/>
                <w:szCs w:val="17"/>
              </w:rPr>
              <w:t>未完成原因和改进措</w:t>
            </w:r>
            <w:r>
              <w:rPr>
                <w:spacing w:val="7"/>
                <w:sz w:val="17"/>
                <w:szCs w:val="17"/>
              </w:rPr>
              <w:t xml:space="preserve"> </w:t>
            </w:r>
            <w:r>
              <w:rPr>
                <w:sz w:val="17"/>
                <w:szCs w:val="17"/>
              </w:rPr>
              <w:t>施</w:t>
            </w:r>
          </w:p>
        </w:tc>
      </w:tr>
      <w:tr w14:paraId="7420E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754" w:type="dxa"/>
            <w:vMerge w:val="continue"/>
            <w:tcBorders>
              <w:top w:val="nil"/>
              <w:bottom w:val="nil"/>
            </w:tcBorders>
            <w:textDirection w:val="tbRlV"/>
            <w:vAlign w:val="top"/>
          </w:tcPr>
          <w:p w14:paraId="36308149">
            <w:pPr>
              <w:rPr>
                <w:rFonts w:ascii="Arial"/>
                <w:sz w:val="21"/>
              </w:rPr>
            </w:pPr>
          </w:p>
        </w:tc>
        <w:tc>
          <w:tcPr>
            <w:tcW w:w="499" w:type="dxa"/>
            <w:vMerge w:val="restart"/>
            <w:tcBorders>
              <w:bottom w:val="nil"/>
            </w:tcBorders>
            <w:textDirection w:val="tbRlV"/>
            <w:vAlign w:val="top"/>
          </w:tcPr>
          <w:p w14:paraId="4EFA540E">
            <w:pPr>
              <w:pStyle w:val="39"/>
              <w:spacing w:before="194" w:line="201" w:lineRule="auto"/>
              <w:ind w:left="134"/>
              <w:rPr>
                <w:sz w:val="17"/>
                <w:szCs w:val="17"/>
              </w:rPr>
            </w:pPr>
            <w:r>
              <w:rPr>
                <w:sz w:val="17"/>
                <w:szCs w:val="17"/>
              </w:rPr>
              <w:t>产</w:t>
            </w:r>
            <w:r>
              <w:rPr>
                <w:spacing w:val="12"/>
                <w:sz w:val="17"/>
                <w:szCs w:val="17"/>
              </w:rPr>
              <w:t xml:space="preserve"> </w:t>
            </w:r>
            <w:r>
              <w:rPr>
                <w:sz w:val="17"/>
                <w:szCs w:val="17"/>
              </w:rPr>
              <w:t>出</w:t>
            </w:r>
            <w:r>
              <w:rPr>
                <w:spacing w:val="12"/>
                <w:sz w:val="17"/>
                <w:szCs w:val="17"/>
              </w:rPr>
              <w:t xml:space="preserve"> </w:t>
            </w:r>
            <w:r>
              <w:rPr>
                <w:sz w:val="17"/>
                <w:szCs w:val="17"/>
              </w:rPr>
              <w:t>指</w:t>
            </w:r>
            <w:r>
              <w:rPr>
                <w:spacing w:val="12"/>
                <w:sz w:val="17"/>
                <w:szCs w:val="17"/>
              </w:rPr>
              <w:t xml:space="preserve"> </w:t>
            </w:r>
            <w:r>
              <w:rPr>
                <w:sz w:val="17"/>
                <w:szCs w:val="17"/>
              </w:rPr>
              <w:t>标</w:t>
            </w:r>
          </w:p>
        </w:tc>
        <w:tc>
          <w:tcPr>
            <w:tcW w:w="979" w:type="dxa"/>
            <w:vAlign w:val="top"/>
          </w:tcPr>
          <w:p w14:paraId="58362DFD">
            <w:pPr>
              <w:pStyle w:val="39"/>
              <w:spacing w:before="150" w:line="219" w:lineRule="auto"/>
              <w:ind w:left="142"/>
              <w:rPr>
                <w:sz w:val="17"/>
                <w:szCs w:val="17"/>
              </w:rPr>
            </w:pPr>
            <w:r>
              <w:rPr>
                <w:spacing w:val="-2"/>
                <w:sz w:val="17"/>
                <w:szCs w:val="17"/>
              </w:rPr>
              <w:t>数量指标</w:t>
            </w:r>
          </w:p>
        </w:tc>
        <w:tc>
          <w:tcPr>
            <w:tcW w:w="2787" w:type="dxa"/>
            <w:gridSpan w:val="2"/>
            <w:vAlign w:val="top"/>
          </w:tcPr>
          <w:p w14:paraId="405DD9DE">
            <w:pPr>
              <w:pStyle w:val="39"/>
              <w:spacing w:before="148" w:line="218" w:lineRule="auto"/>
              <w:ind w:left="622"/>
              <w:rPr>
                <w:sz w:val="17"/>
                <w:szCs w:val="17"/>
              </w:rPr>
            </w:pPr>
            <w:r>
              <w:rPr>
                <w:spacing w:val="1"/>
                <w:sz w:val="17"/>
                <w:szCs w:val="17"/>
              </w:rPr>
              <w:t>国土空间规划报告书</w:t>
            </w:r>
          </w:p>
        </w:tc>
        <w:tc>
          <w:tcPr>
            <w:tcW w:w="1289" w:type="dxa"/>
            <w:vAlign w:val="top"/>
          </w:tcPr>
          <w:p w14:paraId="4F2ED5AB">
            <w:pPr>
              <w:pStyle w:val="39"/>
              <w:spacing w:before="150" w:line="219" w:lineRule="auto"/>
              <w:ind w:left="336"/>
              <w:rPr>
                <w:sz w:val="17"/>
                <w:szCs w:val="17"/>
              </w:rPr>
            </w:pPr>
            <w:r>
              <w:rPr>
                <w:spacing w:val="8"/>
                <w:sz w:val="17"/>
                <w:szCs w:val="17"/>
              </w:rPr>
              <w:t>1个(套)</w:t>
            </w:r>
          </w:p>
        </w:tc>
        <w:tc>
          <w:tcPr>
            <w:tcW w:w="909" w:type="dxa"/>
            <w:vAlign w:val="top"/>
          </w:tcPr>
          <w:p w14:paraId="07D81DAD">
            <w:pPr>
              <w:pStyle w:val="39"/>
              <w:spacing w:before="192" w:line="184" w:lineRule="auto"/>
              <w:ind w:left="407"/>
              <w:rPr>
                <w:sz w:val="17"/>
                <w:szCs w:val="17"/>
              </w:rPr>
            </w:pPr>
            <w:r>
              <w:rPr>
                <w:sz w:val="17"/>
                <w:szCs w:val="17"/>
              </w:rPr>
              <w:t>1</w:t>
            </w:r>
          </w:p>
        </w:tc>
        <w:tc>
          <w:tcPr>
            <w:tcW w:w="1813" w:type="dxa"/>
            <w:vAlign w:val="top"/>
          </w:tcPr>
          <w:p w14:paraId="52F0C060">
            <w:pPr>
              <w:rPr>
                <w:rFonts w:ascii="Arial"/>
                <w:sz w:val="21"/>
              </w:rPr>
            </w:pPr>
          </w:p>
        </w:tc>
      </w:tr>
      <w:tr w14:paraId="31219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754" w:type="dxa"/>
            <w:vMerge w:val="continue"/>
            <w:tcBorders>
              <w:top w:val="nil"/>
              <w:bottom w:val="nil"/>
            </w:tcBorders>
            <w:textDirection w:val="tbRlV"/>
            <w:vAlign w:val="top"/>
          </w:tcPr>
          <w:p w14:paraId="4D389D88">
            <w:pPr>
              <w:rPr>
                <w:rFonts w:ascii="Arial"/>
                <w:sz w:val="21"/>
              </w:rPr>
            </w:pPr>
          </w:p>
        </w:tc>
        <w:tc>
          <w:tcPr>
            <w:tcW w:w="499" w:type="dxa"/>
            <w:vMerge w:val="continue"/>
            <w:tcBorders>
              <w:top w:val="nil"/>
              <w:bottom w:val="nil"/>
            </w:tcBorders>
            <w:textDirection w:val="tbRlV"/>
            <w:vAlign w:val="top"/>
          </w:tcPr>
          <w:p w14:paraId="58D18CE9">
            <w:pPr>
              <w:rPr>
                <w:rFonts w:ascii="Arial"/>
                <w:sz w:val="21"/>
              </w:rPr>
            </w:pPr>
          </w:p>
        </w:tc>
        <w:tc>
          <w:tcPr>
            <w:tcW w:w="979" w:type="dxa"/>
            <w:vAlign w:val="top"/>
          </w:tcPr>
          <w:p w14:paraId="553C40D8">
            <w:pPr>
              <w:pStyle w:val="39"/>
              <w:spacing w:before="111" w:line="220" w:lineRule="auto"/>
              <w:ind w:left="142"/>
              <w:rPr>
                <w:sz w:val="17"/>
                <w:szCs w:val="17"/>
              </w:rPr>
            </w:pPr>
            <w:r>
              <w:rPr>
                <w:spacing w:val="-2"/>
                <w:sz w:val="17"/>
                <w:szCs w:val="17"/>
              </w:rPr>
              <w:t>质量指标</w:t>
            </w:r>
          </w:p>
        </w:tc>
        <w:tc>
          <w:tcPr>
            <w:tcW w:w="2787" w:type="dxa"/>
            <w:gridSpan w:val="2"/>
            <w:vAlign w:val="top"/>
          </w:tcPr>
          <w:p w14:paraId="278CFE56">
            <w:pPr>
              <w:pStyle w:val="39"/>
              <w:spacing w:before="111" w:line="219" w:lineRule="auto"/>
              <w:ind w:left="793"/>
              <w:rPr>
                <w:sz w:val="17"/>
                <w:szCs w:val="17"/>
              </w:rPr>
            </w:pPr>
            <w:r>
              <w:rPr>
                <w:spacing w:val="-1"/>
                <w:sz w:val="17"/>
                <w:szCs w:val="17"/>
              </w:rPr>
              <w:t>上级审核通过率</w:t>
            </w:r>
          </w:p>
        </w:tc>
        <w:tc>
          <w:tcPr>
            <w:tcW w:w="1289" w:type="dxa"/>
            <w:vAlign w:val="top"/>
          </w:tcPr>
          <w:p w14:paraId="3434A372">
            <w:pPr>
              <w:pStyle w:val="39"/>
              <w:spacing w:before="153" w:line="184" w:lineRule="auto"/>
              <w:ind w:left="466"/>
              <w:rPr>
                <w:sz w:val="17"/>
                <w:szCs w:val="17"/>
              </w:rPr>
            </w:pPr>
            <w:r>
              <w:rPr>
                <w:spacing w:val="-4"/>
                <w:sz w:val="17"/>
                <w:szCs w:val="17"/>
              </w:rPr>
              <w:t>100%</w:t>
            </w:r>
          </w:p>
        </w:tc>
        <w:tc>
          <w:tcPr>
            <w:tcW w:w="909" w:type="dxa"/>
            <w:vAlign w:val="top"/>
          </w:tcPr>
          <w:p w14:paraId="367F024A">
            <w:pPr>
              <w:pStyle w:val="39"/>
              <w:spacing w:before="153" w:line="184" w:lineRule="auto"/>
              <w:ind w:left="276"/>
              <w:rPr>
                <w:sz w:val="17"/>
                <w:szCs w:val="17"/>
              </w:rPr>
            </w:pPr>
            <w:r>
              <w:rPr>
                <w:spacing w:val="-4"/>
                <w:sz w:val="17"/>
                <w:szCs w:val="17"/>
              </w:rPr>
              <w:t>100%</w:t>
            </w:r>
          </w:p>
        </w:tc>
        <w:tc>
          <w:tcPr>
            <w:tcW w:w="1813" w:type="dxa"/>
            <w:vAlign w:val="top"/>
          </w:tcPr>
          <w:p w14:paraId="3994689F">
            <w:pPr>
              <w:rPr>
                <w:rFonts w:ascii="Arial"/>
                <w:sz w:val="21"/>
              </w:rPr>
            </w:pPr>
          </w:p>
        </w:tc>
      </w:tr>
      <w:tr w14:paraId="6AC6C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754" w:type="dxa"/>
            <w:vMerge w:val="continue"/>
            <w:tcBorders>
              <w:top w:val="nil"/>
              <w:bottom w:val="nil"/>
            </w:tcBorders>
            <w:textDirection w:val="tbRlV"/>
            <w:vAlign w:val="top"/>
          </w:tcPr>
          <w:p w14:paraId="0ABDCC1C">
            <w:pPr>
              <w:rPr>
                <w:rFonts w:ascii="Arial"/>
                <w:sz w:val="21"/>
              </w:rPr>
            </w:pPr>
          </w:p>
        </w:tc>
        <w:tc>
          <w:tcPr>
            <w:tcW w:w="499" w:type="dxa"/>
            <w:vMerge w:val="continue"/>
            <w:tcBorders>
              <w:top w:val="nil"/>
            </w:tcBorders>
            <w:textDirection w:val="tbRlV"/>
            <w:vAlign w:val="top"/>
          </w:tcPr>
          <w:p w14:paraId="7D8F46CC">
            <w:pPr>
              <w:rPr>
                <w:rFonts w:ascii="Arial"/>
                <w:sz w:val="21"/>
              </w:rPr>
            </w:pPr>
          </w:p>
        </w:tc>
        <w:tc>
          <w:tcPr>
            <w:tcW w:w="979" w:type="dxa"/>
            <w:vAlign w:val="top"/>
          </w:tcPr>
          <w:p w14:paraId="75F14408">
            <w:pPr>
              <w:pStyle w:val="39"/>
              <w:spacing w:before="112" w:line="220" w:lineRule="auto"/>
              <w:ind w:left="142"/>
              <w:rPr>
                <w:sz w:val="17"/>
                <w:szCs w:val="17"/>
              </w:rPr>
            </w:pPr>
            <w:r>
              <w:rPr>
                <w:spacing w:val="1"/>
                <w:sz w:val="17"/>
                <w:szCs w:val="17"/>
              </w:rPr>
              <w:t>时效指标</w:t>
            </w:r>
          </w:p>
        </w:tc>
        <w:tc>
          <w:tcPr>
            <w:tcW w:w="2787" w:type="dxa"/>
            <w:gridSpan w:val="2"/>
            <w:vAlign w:val="top"/>
          </w:tcPr>
          <w:p w14:paraId="21A85AE7">
            <w:pPr>
              <w:pStyle w:val="39"/>
              <w:spacing w:before="112" w:line="219" w:lineRule="auto"/>
              <w:ind w:left="873"/>
              <w:rPr>
                <w:sz w:val="17"/>
                <w:szCs w:val="17"/>
              </w:rPr>
            </w:pPr>
            <w:r>
              <w:rPr>
                <w:spacing w:val="2"/>
                <w:sz w:val="17"/>
                <w:szCs w:val="17"/>
              </w:rPr>
              <w:t>项目完成时间</w:t>
            </w:r>
          </w:p>
        </w:tc>
        <w:tc>
          <w:tcPr>
            <w:tcW w:w="1289" w:type="dxa"/>
            <w:vAlign w:val="top"/>
          </w:tcPr>
          <w:p w14:paraId="35C49B79">
            <w:pPr>
              <w:pStyle w:val="39"/>
              <w:spacing w:before="112" w:line="219" w:lineRule="auto"/>
              <w:ind w:left="385"/>
              <w:rPr>
                <w:sz w:val="17"/>
                <w:szCs w:val="17"/>
              </w:rPr>
            </w:pPr>
            <w:r>
              <w:rPr>
                <w:spacing w:val="-2"/>
                <w:sz w:val="17"/>
                <w:szCs w:val="17"/>
              </w:rPr>
              <w:t>2023年</w:t>
            </w:r>
          </w:p>
        </w:tc>
        <w:tc>
          <w:tcPr>
            <w:tcW w:w="909" w:type="dxa"/>
            <w:vAlign w:val="top"/>
          </w:tcPr>
          <w:p w14:paraId="644B7894">
            <w:pPr>
              <w:rPr>
                <w:rFonts w:ascii="Arial"/>
                <w:sz w:val="21"/>
              </w:rPr>
            </w:pPr>
          </w:p>
        </w:tc>
        <w:tc>
          <w:tcPr>
            <w:tcW w:w="1813" w:type="dxa"/>
            <w:vAlign w:val="top"/>
          </w:tcPr>
          <w:p w14:paraId="261BD074">
            <w:pPr>
              <w:rPr>
                <w:rFonts w:ascii="Arial"/>
                <w:sz w:val="21"/>
              </w:rPr>
            </w:pPr>
          </w:p>
        </w:tc>
      </w:tr>
      <w:tr w14:paraId="136BC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9" w:hRule="atLeast"/>
        </w:trPr>
        <w:tc>
          <w:tcPr>
            <w:tcW w:w="754" w:type="dxa"/>
            <w:vMerge w:val="continue"/>
            <w:tcBorders>
              <w:top w:val="nil"/>
              <w:bottom w:val="nil"/>
            </w:tcBorders>
            <w:textDirection w:val="tbRlV"/>
            <w:vAlign w:val="top"/>
          </w:tcPr>
          <w:p w14:paraId="57B65D6D">
            <w:pPr>
              <w:rPr>
                <w:rFonts w:ascii="Arial"/>
                <w:sz w:val="21"/>
              </w:rPr>
            </w:pPr>
          </w:p>
        </w:tc>
        <w:tc>
          <w:tcPr>
            <w:tcW w:w="499" w:type="dxa"/>
            <w:textDirection w:val="tbRlV"/>
            <w:vAlign w:val="top"/>
          </w:tcPr>
          <w:p w14:paraId="223F31A0">
            <w:pPr>
              <w:pStyle w:val="39"/>
              <w:spacing w:before="244" w:line="201" w:lineRule="auto"/>
              <w:ind w:left="87"/>
              <w:rPr>
                <w:sz w:val="17"/>
                <w:szCs w:val="17"/>
              </w:rPr>
            </w:pPr>
            <w:r>
              <w:rPr>
                <w:spacing w:val="-1"/>
                <w:sz w:val="17"/>
                <w:szCs w:val="17"/>
              </w:rPr>
              <w:t>效 益 指 标</w:t>
            </w:r>
          </w:p>
        </w:tc>
        <w:tc>
          <w:tcPr>
            <w:tcW w:w="979" w:type="dxa"/>
            <w:vAlign w:val="top"/>
          </w:tcPr>
          <w:p w14:paraId="71DCBFE7">
            <w:pPr>
              <w:spacing w:line="264" w:lineRule="auto"/>
              <w:rPr>
                <w:rFonts w:ascii="Arial"/>
                <w:sz w:val="21"/>
              </w:rPr>
            </w:pPr>
          </w:p>
          <w:p w14:paraId="6B4E8AA1">
            <w:pPr>
              <w:pStyle w:val="39"/>
              <w:spacing w:before="56" w:line="282" w:lineRule="auto"/>
              <w:ind w:left="311" w:right="154" w:hanging="169"/>
              <w:rPr>
                <w:sz w:val="17"/>
                <w:szCs w:val="17"/>
              </w:rPr>
            </w:pPr>
            <w:r>
              <w:rPr>
                <w:spacing w:val="-2"/>
                <w:sz w:val="17"/>
                <w:szCs w:val="17"/>
              </w:rPr>
              <w:t>社会效益</w:t>
            </w:r>
            <w:r>
              <w:rPr>
                <w:sz w:val="17"/>
                <w:szCs w:val="17"/>
              </w:rPr>
              <w:t xml:space="preserve"> </w:t>
            </w:r>
            <w:r>
              <w:rPr>
                <w:spacing w:val="-3"/>
                <w:sz w:val="17"/>
                <w:szCs w:val="17"/>
              </w:rPr>
              <w:t>指标</w:t>
            </w:r>
          </w:p>
        </w:tc>
        <w:tc>
          <w:tcPr>
            <w:tcW w:w="2787" w:type="dxa"/>
            <w:gridSpan w:val="2"/>
            <w:vAlign w:val="top"/>
          </w:tcPr>
          <w:p w14:paraId="311F69A5">
            <w:pPr>
              <w:spacing w:line="425" w:lineRule="auto"/>
              <w:rPr>
                <w:rFonts w:ascii="Arial"/>
                <w:sz w:val="21"/>
              </w:rPr>
            </w:pPr>
          </w:p>
          <w:p w14:paraId="5BBD82C7">
            <w:pPr>
              <w:pStyle w:val="39"/>
              <w:spacing w:before="55" w:line="219" w:lineRule="auto"/>
              <w:ind w:left="193"/>
              <w:rPr>
                <w:sz w:val="17"/>
                <w:szCs w:val="17"/>
              </w:rPr>
            </w:pPr>
            <w:r>
              <w:rPr>
                <w:spacing w:val="-1"/>
                <w:sz w:val="17"/>
                <w:szCs w:val="17"/>
              </w:rPr>
              <w:t>解决交通线性工程土地制约瓶颈</w:t>
            </w:r>
          </w:p>
        </w:tc>
        <w:tc>
          <w:tcPr>
            <w:tcW w:w="1289" w:type="dxa"/>
            <w:vAlign w:val="top"/>
          </w:tcPr>
          <w:p w14:paraId="1F654A30">
            <w:pPr>
              <w:spacing w:line="428" w:lineRule="auto"/>
              <w:rPr>
                <w:rFonts w:ascii="Arial"/>
                <w:sz w:val="21"/>
              </w:rPr>
            </w:pPr>
          </w:p>
          <w:p w14:paraId="56FE5BBC">
            <w:pPr>
              <w:pStyle w:val="39"/>
              <w:spacing w:before="55" w:line="223" w:lineRule="auto"/>
              <w:ind w:left="556"/>
              <w:rPr>
                <w:sz w:val="17"/>
                <w:szCs w:val="17"/>
              </w:rPr>
            </w:pPr>
            <w:r>
              <w:rPr>
                <w:sz w:val="17"/>
                <w:szCs w:val="17"/>
              </w:rPr>
              <w:t>是</w:t>
            </w:r>
          </w:p>
        </w:tc>
        <w:tc>
          <w:tcPr>
            <w:tcW w:w="909" w:type="dxa"/>
            <w:vAlign w:val="top"/>
          </w:tcPr>
          <w:p w14:paraId="4BDA3EFA">
            <w:pPr>
              <w:spacing w:line="428" w:lineRule="auto"/>
              <w:rPr>
                <w:rFonts w:ascii="Arial"/>
                <w:sz w:val="21"/>
              </w:rPr>
            </w:pPr>
          </w:p>
          <w:p w14:paraId="2909FC57">
            <w:pPr>
              <w:pStyle w:val="39"/>
              <w:spacing w:before="55" w:line="223" w:lineRule="auto"/>
              <w:ind w:left="366"/>
              <w:rPr>
                <w:sz w:val="17"/>
                <w:szCs w:val="17"/>
              </w:rPr>
            </w:pPr>
            <w:r>
              <w:rPr>
                <w:sz w:val="17"/>
                <w:szCs w:val="17"/>
              </w:rPr>
              <w:t>是</w:t>
            </w:r>
          </w:p>
        </w:tc>
        <w:tc>
          <w:tcPr>
            <w:tcW w:w="1813" w:type="dxa"/>
            <w:vAlign w:val="top"/>
          </w:tcPr>
          <w:p w14:paraId="4A54D255">
            <w:pPr>
              <w:rPr>
                <w:rFonts w:ascii="Arial"/>
                <w:sz w:val="21"/>
              </w:rPr>
            </w:pPr>
          </w:p>
        </w:tc>
      </w:tr>
      <w:tr w14:paraId="4AE4C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9" w:hRule="atLeast"/>
        </w:trPr>
        <w:tc>
          <w:tcPr>
            <w:tcW w:w="754" w:type="dxa"/>
            <w:vMerge w:val="continue"/>
            <w:tcBorders>
              <w:top w:val="nil"/>
              <w:bottom w:val="nil"/>
            </w:tcBorders>
            <w:textDirection w:val="tbRlV"/>
            <w:vAlign w:val="top"/>
          </w:tcPr>
          <w:p w14:paraId="1EE84011">
            <w:pPr>
              <w:rPr>
                <w:rFonts w:ascii="Arial"/>
                <w:sz w:val="21"/>
              </w:rPr>
            </w:pPr>
          </w:p>
        </w:tc>
        <w:tc>
          <w:tcPr>
            <w:tcW w:w="499" w:type="dxa"/>
            <w:textDirection w:val="tbRlV"/>
            <w:vAlign w:val="top"/>
          </w:tcPr>
          <w:p w14:paraId="3492832A">
            <w:pPr>
              <w:pStyle w:val="39"/>
              <w:spacing w:before="234" w:line="201" w:lineRule="auto"/>
              <w:jc w:val="right"/>
              <w:rPr>
                <w:sz w:val="17"/>
                <w:szCs w:val="17"/>
              </w:rPr>
            </w:pPr>
            <w:r>
              <w:rPr>
                <w:spacing w:val="-3"/>
                <w:sz w:val="17"/>
                <w:szCs w:val="17"/>
              </w:rPr>
              <w:t>效</w:t>
            </w:r>
            <w:r>
              <w:rPr>
                <w:spacing w:val="12"/>
                <w:sz w:val="17"/>
                <w:szCs w:val="17"/>
              </w:rPr>
              <w:t xml:space="preserve"> </w:t>
            </w:r>
            <w:r>
              <w:rPr>
                <w:spacing w:val="-3"/>
                <w:sz w:val="17"/>
                <w:szCs w:val="17"/>
              </w:rPr>
              <w:t>益</w:t>
            </w:r>
            <w:r>
              <w:rPr>
                <w:spacing w:val="11"/>
                <w:sz w:val="17"/>
                <w:szCs w:val="17"/>
              </w:rPr>
              <w:t xml:space="preserve"> </w:t>
            </w:r>
            <w:r>
              <w:rPr>
                <w:spacing w:val="-3"/>
                <w:sz w:val="17"/>
                <w:szCs w:val="17"/>
              </w:rPr>
              <w:t>指</w:t>
            </w:r>
            <w:r>
              <w:rPr>
                <w:spacing w:val="11"/>
                <w:sz w:val="17"/>
                <w:szCs w:val="17"/>
              </w:rPr>
              <w:t xml:space="preserve"> </w:t>
            </w:r>
            <w:r>
              <w:rPr>
                <w:spacing w:val="-3"/>
                <w:sz w:val="17"/>
                <w:szCs w:val="17"/>
              </w:rPr>
              <w:t>标</w:t>
            </w:r>
          </w:p>
        </w:tc>
        <w:tc>
          <w:tcPr>
            <w:tcW w:w="979" w:type="dxa"/>
            <w:vAlign w:val="top"/>
          </w:tcPr>
          <w:p w14:paraId="04230826">
            <w:pPr>
              <w:pStyle w:val="39"/>
              <w:spacing w:before="252" w:line="282" w:lineRule="auto"/>
              <w:ind w:left="311" w:right="154" w:hanging="169"/>
              <w:rPr>
                <w:sz w:val="17"/>
                <w:szCs w:val="17"/>
              </w:rPr>
            </w:pPr>
            <w:r>
              <w:rPr>
                <w:spacing w:val="-2"/>
                <w:sz w:val="17"/>
                <w:szCs w:val="17"/>
              </w:rPr>
              <w:t>社会效益</w:t>
            </w:r>
            <w:r>
              <w:rPr>
                <w:sz w:val="17"/>
                <w:szCs w:val="17"/>
              </w:rPr>
              <w:t xml:space="preserve"> </w:t>
            </w:r>
            <w:r>
              <w:rPr>
                <w:spacing w:val="-3"/>
                <w:sz w:val="17"/>
                <w:szCs w:val="17"/>
              </w:rPr>
              <w:t>指标</w:t>
            </w:r>
          </w:p>
        </w:tc>
        <w:tc>
          <w:tcPr>
            <w:tcW w:w="2787" w:type="dxa"/>
            <w:gridSpan w:val="2"/>
            <w:vAlign w:val="top"/>
          </w:tcPr>
          <w:p w14:paraId="74F9E542">
            <w:pPr>
              <w:spacing w:line="345" w:lineRule="auto"/>
              <w:rPr>
                <w:rFonts w:ascii="Arial"/>
                <w:sz w:val="21"/>
              </w:rPr>
            </w:pPr>
          </w:p>
          <w:p w14:paraId="7F3F8A42">
            <w:pPr>
              <w:pStyle w:val="39"/>
              <w:spacing w:before="55" w:line="219" w:lineRule="auto"/>
              <w:ind w:left="622"/>
              <w:rPr>
                <w:sz w:val="17"/>
                <w:szCs w:val="17"/>
              </w:rPr>
            </w:pPr>
            <w:r>
              <w:rPr>
                <w:spacing w:val="-2"/>
                <w:sz w:val="17"/>
                <w:szCs w:val="17"/>
              </w:rPr>
              <w:t>市域路网布局合理性</w:t>
            </w:r>
          </w:p>
        </w:tc>
        <w:tc>
          <w:tcPr>
            <w:tcW w:w="1289" w:type="dxa"/>
            <w:vAlign w:val="top"/>
          </w:tcPr>
          <w:p w14:paraId="2E8A38FF">
            <w:pPr>
              <w:spacing w:line="349" w:lineRule="auto"/>
              <w:rPr>
                <w:rFonts w:ascii="Arial"/>
                <w:sz w:val="21"/>
              </w:rPr>
            </w:pPr>
          </w:p>
          <w:p w14:paraId="1786D4D3">
            <w:pPr>
              <w:pStyle w:val="39"/>
              <w:spacing w:before="55" w:line="223" w:lineRule="auto"/>
              <w:ind w:left="466"/>
              <w:rPr>
                <w:sz w:val="17"/>
                <w:szCs w:val="17"/>
              </w:rPr>
            </w:pPr>
            <w:r>
              <w:rPr>
                <w:spacing w:val="-2"/>
                <w:sz w:val="17"/>
                <w:szCs w:val="17"/>
              </w:rPr>
              <w:t>合理</w:t>
            </w:r>
          </w:p>
        </w:tc>
        <w:tc>
          <w:tcPr>
            <w:tcW w:w="909" w:type="dxa"/>
            <w:vAlign w:val="top"/>
          </w:tcPr>
          <w:p w14:paraId="60B99F2E">
            <w:pPr>
              <w:spacing w:line="349" w:lineRule="auto"/>
              <w:rPr>
                <w:rFonts w:ascii="Arial"/>
                <w:sz w:val="21"/>
              </w:rPr>
            </w:pPr>
          </w:p>
          <w:p w14:paraId="6A63CBD0">
            <w:pPr>
              <w:pStyle w:val="39"/>
              <w:spacing w:before="55" w:line="223" w:lineRule="auto"/>
              <w:ind w:left="276"/>
              <w:rPr>
                <w:sz w:val="17"/>
                <w:szCs w:val="17"/>
              </w:rPr>
            </w:pPr>
            <w:r>
              <w:rPr>
                <w:spacing w:val="-2"/>
                <w:sz w:val="17"/>
                <w:szCs w:val="17"/>
              </w:rPr>
              <w:t>合理</w:t>
            </w:r>
          </w:p>
        </w:tc>
        <w:tc>
          <w:tcPr>
            <w:tcW w:w="1813" w:type="dxa"/>
            <w:vAlign w:val="top"/>
          </w:tcPr>
          <w:p w14:paraId="5D16D7BA">
            <w:pPr>
              <w:rPr>
                <w:rFonts w:ascii="Arial"/>
                <w:sz w:val="21"/>
              </w:rPr>
            </w:pPr>
          </w:p>
        </w:tc>
      </w:tr>
      <w:tr w14:paraId="3909D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9" w:hRule="atLeast"/>
        </w:trPr>
        <w:tc>
          <w:tcPr>
            <w:tcW w:w="754" w:type="dxa"/>
            <w:vMerge w:val="continue"/>
            <w:tcBorders>
              <w:top w:val="nil"/>
              <w:bottom w:val="nil"/>
            </w:tcBorders>
            <w:textDirection w:val="tbRlV"/>
            <w:vAlign w:val="top"/>
          </w:tcPr>
          <w:p w14:paraId="44434B48">
            <w:pPr>
              <w:rPr>
                <w:rFonts w:ascii="Arial"/>
                <w:sz w:val="21"/>
              </w:rPr>
            </w:pPr>
          </w:p>
        </w:tc>
        <w:tc>
          <w:tcPr>
            <w:tcW w:w="499" w:type="dxa"/>
            <w:textDirection w:val="tbRlV"/>
            <w:vAlign w:val="top"/>
          </w:tcPr>
          <w:p w14:paraId="33A39784">
            <w:pPr>
              <w:pStyle w:val="39"/>
              <w:spacing w:before="214" w:line="202" w:lineRule="auto"/>
              <w:jc w:val="right"/>
              <w:rPr>
                <w:sz w:val="17"/>
                <w:szCs w:val="17"/>
              </w:rPr>
            </w:pPr>
            <w:r>
              <w:rPr>
                <w:spacing w:val="-1"/>
                <w:sz w:val="17"/>
                <w:szCs w:val="17"/>
              </w:rPr>
              <w:t>满 意</w:t>
            </w:r>
            <w:r>
              <w:rPr>
                <w:spacing w:val="4"/>
                <w:sz w:val="17"/>
                <w:szCs w:val="17"/>
              </w:rPr>
              <w:t xml:space="preserve"> </w:t>
            </w:r>
            <w:r>
              <w:rPr>
                <w:spacing w:val="-1"/>
                <w:sz w:val="17"/>
                <w:szCs w:val="17"/>
              </w:rPr>
              <w:t>度</w:t>
            </w:r>
            <w:r>
              <w:rPr>
                <w:spacing w:val="5"/>
                <w:sz w:val="17"/>
                <w:szCs w:val="17"/>
              </w:rPr>
              <w:t xml:space="preserve"> </w:t>
            </w:r>
            <w:r>
              <w:rPr>
                <w:spacing w:val="-1"/>
                <w:sz w:val="17"/>
                <w:szCs w:val="17"/>
              </w:rPr>
              <w:t>指</w:t>
            </w:r>
            <w:r>
              <w:rPr>
                <w:spacing w:val="4"/>
                <w:sz w:val="17"/>
                <w:szCs w:val="17"/>
              </w:rPr>
              <w:t xml:space="preserve"> </w:t>
            </w:r>
            <w:r>
              <w:rPr>
                <w:spacing w:val="-1"/>
                <w:sz w:val="17"/>
                <w:szCs w:val="17"/>
              </w:rPr>
              <w:t>标</w:t>
            </w:r>
          </w:p>
        </w:tc>
        <w:tc>
          <w:tcPr>
            <w:tcW w:w="979" w:type="dxa"/>
            <w:vAlign w:val="top"/>
          </w:tcPr>
          <w:p w14:paraId="1ECAFEB5">
            <w:pPr>
              <w:pStyle w:val="39"/>
              <w:spacing w:before="245" w:line="219" w:lineRule="auto"/>
              <w:ind w:left="142"/>
              <w:rPr>
                <w:sz w:val="17"/>
                <w:szCs w:val="17"/>
              </w:rPr>
            </w:pPr>
            <w:r>
              <w:rPr>
                <w:spacing w:val="-2"/>
                <w:sz w:val="17"/>
                <w:szCs w:val="17"/>
              </w:rPr>
              <w:t>服务对象</w:t>
            </w:r>
          </w:p>
          <w:p w14:paraId="4DF1F919">
            <w:pPr>
              <w:pStyle w:val="39"/>
              <w:spacing w:before="68" w:line="219" w:lineRule="auto"/>
              <w:ind w:left="142"/>
              <w:rPr>
                <w:sz w:val="17"/>
                <w:szCs w:val="17"/>
              </w:rPr>
            </w:pPr>
            <w:r>
              <w:rPr>
                <w:spacing w:val="-2"/>
                <w:sz w:val="17"/>
                <w:szCs w:val="17"/>
              </w:rPr>
              <w:t>满意度指</w:t>
            </w:r>
          </w:p>
          <w:p w14:paraId="07A9B3BF">
            <w:pPr>
              <w:pStyle w:val="39"/>
              <w:spacing w:before="28" w:line="220" w:lineRule="auto"/>
              <w:ind w:left="392"/>
              <w:rPr>
                <w:sz w:val="17"/>
                <w:szCs w:val="17"/>
              </w:rPr>
            </w:pPr>
            <w:r>
              <w:rPr>
                <w:sz w:val="17"/>
                <w:szCs w:val="17"/>
              </w:rPr>
              <w:t>标</w:t>
            </w:r>
          </w:p>
        </w:tc>
        <w:tc>
          <w:tcPr>
            <w:tcW w:w="2787" w:type="dxa"/>
            <w:gridSpan w:val="2"/>
            <w:vAlign w:val="top"/>
          </w:tcPr>
          <w:p w14:paraId="27DBEE5F">
            <w:pPr>
              <w:spacing w:line="465" w:lineRule="auto"/>
              <w:rPr>
                <w:rFonts w:ascii="Arial"/>
                <w:sz w:val="21"/>
              </w:rPr>
            </w:pPr>
          </w:p>
          <w:p w14:paraId="503B2F14">
            <w:pPr>
              <w:pStyle w:val="39"/>
              <w:spacing w:before="55" w:line="218" w:lineRule="auto"/>
              <w:ind w:left="533"/>
              <w:rPr>
                <w:sz w:val="17"/>
                <w:szCs w:val="17"/>
              </w:rPr>
            </w:pPr>
            <w:r>
              <w:rPr>
                <w:spacing w:val="-1"/>
                <w:sz w:val="17"/>
                <w:szCs w:val="17"/>
              </w:rPr>
              <w:t>报告数据使用者满意度</w:t>
            </w:r>
          </w:p>
        </w:tc>
        <w:tc>
          <w:tcPr>
            <w:tcW w:w="1289" w:type="dxa"/>
            <w:vAlign w:val="top"/>
          </w:tcPr>
          <w:p w14:paraId="4DA3CE55">
            <w:pPr>
              <w:spacing w:line="241" w:lineRule="auto"/>
              <w:rPr>
                <w:rFonts w:ascii="Arial"/>
                <w:sz w:val="21"/>
              </w:rPr>
            </w:pPr>
          </w:p>
          <w:p w14:paraId="101CA6C1">
            <w:pPr>
              <w:spacing w:line="242" w:lineRule="auto"/>
              <w:rPr>
                <w:rFonts w:ascii="Arial"/>
                <w:sz w:val="21"/>
              </w:rPr>
            </w:pPr>
          </w:p>
          <w:p w14:paraId="4FEFF3B8">
            <w:pPr>
              <w:pStyle w:val="39"/>
              <w:spacing w:before="55" w:line="237" w:lineRule="auto"/>
              <w:ind w:left="426"/>
              <w:rPr>
                <w:sz w:val="17"/>
                <w:szCs w:val="17"/>
              </w:rPr>
            </w:pPr>
            <w:r>
              <w:rPr>
                <w:spacing w:val="-5"/>
                <w:sz w:val="17"/>
                <w:szCs w:val="17"/>
              </w:rPr>
              <w:t>≥95%</w:t>
            </w:r>
          </w:p>
        </w:tc>
        <w:tc>
          <w:tcPr>
            <w:tcW w:w="909" w:type="dxa"/>
            <w:vAlign w:val="top"/>
          </w:tcPr>
          <w:p w14:paraId="46B59709">
            <w:pPr>
              <w:spacing w:line="255" w:lineRule="auto"/>
              <w:rPr>
                <w:rFonts w:ascii="Arial"/>
                <w:sz w:val="21"/>
              </w:rPr>
            </w:pPr>
          </w:p>
          <w:p w14:paraId="4E763E67">
            <w:pPr>
              <w:spacing w:line="255" w:lineRule="auto"/>
              <w:rPr>
                <w:rFonts w:ascii="Arial"/>
                <w:sz w:val="21"/>
              </w:rPr>
            </w:pPr>
          </w:p>
          <w:p w14:paraId="403DB50F">
            <w:pPr>
              <w:pStyle w:val="39"/>
              <w:spacing w:before="55" w:line="183" w:lineRule="auto"/>
              <w:ind w:left="317"/>
              <w:rPr>
                <w:sz w:val="17"/>
                <w:szCs w:val="17"/>
              </w:rPr>
            </w:pPr>
            <w:r>
              <w:rPr>
                <w:spacing w:val="-2"/>
                <w:sz w:val="17"/>
                <w:szCs w:val="17"/>
              </w:rPr>
              <w:t>95%</w:t>
            </w:r>
          </w:p>
        </w:tc>
        <w:tc>
          <w:tcPr>
            <w:tcW w:w="1813" w:type="dxa"/>
            <w:vAlign w:val="top"/>
          </w:tcPr>
          <w:p w14:paraId="14DD0375">
            <w:pPr>
              <w:rPr>
                <w:rFonts w:ascii="Arial"/>
                <w:sz w:val="21"/>
              </w:rPr>
            </w:pPr>
          </w:p>
        </w:tc>
      </w:tr>
      <w:tr w14:paraId="4F95C6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trPr>
        <w:tc>
          <w:tcPr>
            <w:tcW w:w="754" w:type="dxa"/>
            <w:vMerge w:val="continue"/>
            <w:tcBorders>
              <w:top w:val="nil"/>
            </w:tcBorders>
            <w:textDirection w:val="tbRlV"/>
            <w:vAlign w:val="top"/>
          </w:tcPr>
          <w:p w14:paraId="4FDFF5FD">
            <w:pPr>
              <w:rPr>
                <w:rFonts w:ascii="Arial"/>
                <w:sz w:val="21"/>
              </w:rPr>
            </w:pPr>
          </w:p>
        </w:tc>
        <w:tc>
          <w:tcPr>
            <w:tcW w:w="499" w:type="dxa"/>
            <w:textDirection w:val="tbRlV"/>
            <w:vAlign w:val="top"/>
          </w:tcPr>
          <w:p w14:paraId="15EC6E2A">
            <w:pPr>
              <w:pStyle w:val="39"/>
              <w:spacing w:before="194" w:line="199" w:lineRule="auto"/>
              <w:rPr>
                <w:sz w:val="17"/>
                <w:szCs w:val="17"/>
              </w:rPr>
            </w:pPr>
            <w:r>
              <w:rPr>
                <w:spacing w:val="-1"/>
                <w:sz w:val="17"/>
                <w:szCs w:val="17"/>
              </w:rPr>
              <w:t>成本指标</w:t>
            </w:r>
          </w:p>
        </w:tc>
        <w:tc>
          <w:tcPr>
            <w:tcW w:w="979" w:type="dxa"/>
            <w:vAlign w:val="top"/>
          </w:tcPr>
          <w:p w14:paraId="78BD77F4">
            <w:pPr>
              <w:pStyle w:val="39"/>
              <w:spacing w:before="284" w:line="271" w:lineRule="auto"/>
              <w:ind w:right="154"/>
              <w:jc w:val="center"/>
              <w:rPr>
                <w:sz w:val="17"/>
                <w:szCs w:val="17"/>
              </w:rPr>
            </w:pPr>
            <w:r>
              <w:rPr>
                <w:spacing w:val="-2"/>
                <w:sz w:val="17"/>
                <w:szCs w:val="17"/>
              </w:rPr>
              <w:t>经济成本</w:t>
            </w:r>
            <w:r>
              <w:rPr>
                <w:sz w:val="17"/>
                <w:szCs w:val="17"/>
              </w:rPr>
              <w:t xml:space="preserve"> </w:t>
            </w:r>
            <w:r>
              <w:rPr>
                <w:spacing w:val="-3"/>
                <w:sz w:val="17"/>
                <w:szCs w:val="17"/>
              </w:rPr>
              <w:t>指标</w:t>
            </w:r>
          </w:p>
        </w:tc>
        <w:tc>
          <w:tcPr>
            <w:tcW w:w="2787" w:type="dxa"/>
            <w:gridSpan w:val="2"/>
            <w:vAlign w:val="top"/>
          </w:tcPr>
          <w:p w14:paraId="059CB5F7">
            <w:pPr>
              <w:spacing w:line="376" w:lineRule="auto"/>
              <w:rPr>
                <w:rFonts w:ascii="Arial"/>
                <w:sz w:val="21"/>
              </w:rPr>
            </w:pPr>
          </w:p>
          <w:p w14:paraId="154A48B8">
            <w:pPr>
              <w:pStyle w:val="39"/>
              <w:spacing w:before="56" w:line="218" w:lineRule="auto"/>
              <w:ind w:left="703"/>
              <w:rPr>
                <w:sz w:val="17"/>
                <w:szCs w:val="17"/>
              </w:rPr>
            </w:pPr>
            <w:r>
              <w:rPr>
                <w:spacing w:val="-1"/>
                <w:sz w:val="17"/>
                <w:szCs w:val="17"/>
              </w:rPr>
              <w:t>编制服务费合同价</w:t>
            </w:r>
          </w:p>
        </w:tc>
        <w:tc>
          <w:tcPr>
            <w:tcW w:w="1289" w:type="dxa"/>
            <w:vAlign w:val="top"/>
          </w:tcPr>
          <w:p w14:paraId="2FBF58B8">
            <w:pPr>
              <w:spacing w:line="378" w:lineRule="auto"/>
              <w:rPr>
                <w:rFonts w:ascii="Arial"/>
                <w:sz w:val="21"/>
              </w:rPr>
            </w:pPr>
          </w:p>
          <w:p w14:paraId="54DABCD6">
            <w:pPr>
              <w:pStyle w:val="39"/>
              <w:spacing w:before="56" w:line="220" w:lineRule="auto"/>
              <w:ind w:left="336"/>
              <w:rPr>
                <w:sz w:val="17"/>
                <w:szCs w:val="17"/>
              </w:rPr>
            </w:pPr>
            <w:r>
              <w:rPr>
                <w:spacing w:val="-1"/>
                <w:sz w:val="17"/>
                <w:szCs w:val="17"/>
              </w:rPr>
              <w:t>=80万元</w:t>
            </w:r>
          </w:p>
        </w:tc>
        <w:tc>
          <w:tcPr>
            <w:tcW w:w="909" w:type="dxa"/>
            <w:vAlign w:val="top"/>
          </w:tcPr>
          <w:p w14:paraId="5C27B526">
            <w:pPr>
              <w:spacing w:line="378" w:lineRule="auto"/>
              <w:rPr>
                <w:rFonts w:ascii="Arial"/>
                <w:sz w:val="21"/>
              </w:rPr>
            </w:pPr>
          </w:p>
          <w:p w14:paraId="439C549A">
            <w:pPr>
              <w:pStyle w:val="39"/>
              <w:spacing w:before="56" w:line="220" w:lineRule="auto"/>
              <w:ind w:left="197"/>
              <w:rPr>
                <w:sz w:val="17"/>
                <w:szCs w:val="17"/>
              </w:rPr>
            </w:pPr>
            <w:r>
              <w:rPr>
                <w:spacing w:val="-2"/>
                <w:sz w:val="17"/>
                <w:szCs w:val="17"/>
              </w:rPr>
              <w:t>80万元</w:t>
            </w:r>
          </w:p>
        </w:tc>
        <w:tc>
          <w:tcPr>
            <w:tcW w:w="1813" w:type="dxa"/>
            <w:vAlign w:val="top"/>
          </w:tcPr>
          <w:p w14:paraId="4B13ADB6">
            <w:pPr>
              <w:rPr>
                <w:rFonts w:ascii="Arial"/>
                <w:sz w:val="21"/>
              </w:rPr>
            </w:pPr>
          </w:p>
        </w:tc>
      </w:tr>
      <w:tr w14:paraId="26562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754" w:type="dxa"/>
            <w:vAlign w:val="top"/>
          </w:tcPr>
          <w:p w14:paraId="02308C11">
            <w:pPr>
              <w:pStyle w:val="39"/>
              <w:spacing w:before="107" w:line="219" w:lineRule="auto"/>
              <w:ind w:left="194"/>
              <w:rPr>
                <w:sz w:val="17"/>
                <w:szCs w:val="17"/>
              </w:rPr>
            </w:pPr>
            <w:r>
              <w:rPr>
                <w:spacing w:val="9"/>
                <w:sz w:val="17"/>
                <w:szCs w:val="17"/>
              </w:rPr>
              <w:t>说明</w:t>
            </w:r>
          </w:p>
        </w:tc>
        <w:tc>
          <w:tcPr>
            <w:tcW w:w="8276" w:type="dxa"/>
            <w:gridSpan w:val="7"/>
            <w:vAlign w:val="top"/>
          </w:tcPr>
          <w:p w14:paraId="7F158AAF">
            <w:pPr>
              <w:pStyle w:val="39"/>
              <w:spacing w:before="107" w:line="220" w:lineRule="auto"/>
              <w:ind w:left="91"/>
              <w:rPr>
                <w:sz w:val="17"/>
                <w:szCs w:val="17"/>
              </w:rPr>
            </w:pPr>
            <w:r>
              <w:rPr>
                <w:sz w:val="17"/>
                <w:szCs w:val="17"/>
              </w:rPr>
              <w:t>无</w:t>
            </w:r>
          </w:p>
        </w:tc>
      </w:tr>
    </w:tbl>
    <w:p w14:paraId="4A30DAAD">
      <w:r>
        <w:br w:type="page"/>
      </w:r>
    </w:p>
    <w:p w14:paraId="09837741">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rPr>
          <w:rFonts w:hint="eastAsia" w:ascii="Times New Roman" w:hAnsi="Times New Roman" w:eastAsia="Arial Unicode MS" w:cs="Times New Roman"/>
          <w:sz w:val="36"/>
          <w:szCs w:val="36"/>
          <w:lang w:val="en-US" w:eastAsia="zh-CN"/>
        </w:rPr>
      </w:pPr>
      <w:r>
        <w:rPr>
          <w:rFonts w:hint="eastAsia" w:ascii="Times New Roman" w:hAnsi="Times New Roman" w:eastAsia="Arial Unicode MS" w:cs="Times New Roman"/>
          <w:sz w:val="36"/>
          <w:szCs w:val="36"/>
          <w:lang w:val="en-US" w:eastAsia="zh-CN"/>
        </w:rPr>
        <w:t>射洪市水上应急救援中心</w:t>
      </w:r>
    </w:p>
    <w:p w14:paraId="0B954EDD">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rPr>
          <w:rFonts w:hint="eastAsia" w:ascii="黑体" w:hAnsi="黑体" w:eastAsia="黑体"/>
          <w:b w:val="0"/>
          <w:bCs w:val="0"/>
          <w:sz w:val="36"/>
          <w:szCs w:val="36"/>
        </w:rPr>
      </w:pPr>
      <w:r>
        <w:rPr>
          <w:rFonts w:hint="eastAsia" w:ascii="Times New Roman" w:hAnsi="Times New Roman" w:eastAsia="Arial Unicode MS" w:cs="Times New Roman"/>
          <w:sz w:val="36"/>
          <w:szCs w:val="36"/>
          <w:lang w:val="en-US" w:eastAsia="zh-CN"/>
        </w:rPr>
        <w:t>2023年度防汛经费及水上安全维稳等项目支出绩效自评报告</w:t>
      </w:r>
    </w:p>
    <w:p w14:paraId="1C98DB78">
      <w:pPr>
        <w:spacing w:line="600" w:lineRule="exact"/>
        <w:ind w:firstLine="722"/>
        <w:jc w:val="left"/>
        <w:outlineLvl w:val="1"/>
        <w:rPr>
          <w:rFonts w:hint="default" w:ascii="黑体" w:hAnsi="黑体" w:eastAsia="黑体"/>
          <w:b w:val="0"/>
          <w:bCs w:val="0"/>
          <w:sz w:val="32"/>
          <w:lang w:val="en-US" w:eastAsia="zh-CN"/>
        </w:rPr>
      </w:pPr>
      <w:bookmarkStart w:id="133" w:name="_Toc3698"/>
      <w:bookmarkStart w:id="134" w:name="_Toc14075"/>
      <w:r>
        <w:rPr>
          <w:rFonts w:hint="eastAsia" w:ascii="黑体" w:hAnsi="黑体" w:eastAsia="黑体"/>
          <w:b w:val="0"/>
          <w:bCs w:val="0"/>
          <w:sz w:val="32"/>
        </w:rPr>
        <w:t>一、</w:t>
      </w:r>
      <w:r>
        <w:rPr>
          <w:rFonts w:hint="eastAsia" w:ascii="黑体" w:hAnsi="黑体" w:eastAsia="黑体"/>
          <w:b w:val="0"/>
          <w:bCs w:val="0"/>
          <w:sz w:val="32"/>
          <w:lang w:val="en-US" w:eastAsia="zh-CN"/>
        </w:rPr>
        <w:t>项目概况</w:t>
      </w:r>
      <w:bookmarkEnd w:id="133"/>
      <w:bookmarkEnd w:id="134"/>
    </w:p>
    <w:p w14:paraId="7E3CB17D">
      <w:pPr>
        <w:spacing w:line="600" w:lineRule="exact"/>
        <w:ind w:firstLine="722"/>
        <w:jc w:val="left"/>
        <w:rPr>
          <w:rFonts w:hint="eastAsia" w:ascii="楷体_GB2312" w:hAnsi="楷体_GB2312" w:eastAsia="楷体_GB2312" w:cs="楷体_GB2312"/>
          <w:b/>
          <w:bCs/>
          <w:sz w:val="36"/>
          <w:szCs w:val="32"/>
        </w:rPr>
      </w:pPr>
      <w:r>
        <w:rPr>
          <w:rFonts w:hint="eastAsia" w:ascii="楷体_GB2312" w:hAnsi="楷体_GB2312" w:eastAsia="楷体_GB2312" w:cs="楷体_GB2312"/>
          <w:bCs/>
          <w:sz w:val="32"/>
        </w:rPr>
        <w:t>（一）</w:t>
      </w:r>
      <w:r>
        <w:rPr>
          <w:rFonts w:hint="eastAsia" w:ascii="楷体_GB2312" w:hAnsi="楷体_GB2312" w:eastAsia="楷体_GB2312" w:cs="楷体_GB2312"/>
          <w:bCs/>
          <w:sz w:val="32"/>
          <w:lang w:val="en-US" w:eastAsia="zh-CN"/>
        </w:rPr>
        <w:t>项目基本</w:t>
      </w:r>
      <w:r>
        <w:rPr>
          <w:rFonts w:hint="eastAsia" w:ascii="楷体_GB2312" w:hAnsi="楷体_GB2312" w:eastAsia="楷体_GB2312" w:cs="楷体_GB2312"/>
          <w:bCs/>
          <w:sz w:val="32"/>
        </w:rPr>
        <w:t>情况</w:t>
      </w:r>
    </w:p>
    <w:p w14:paraId="618D33E9">
      <w:pPr>
        <w:tabs>
          <w:tab w:val="left" w:pos="5655"/>
        </w:tabs>
        <w:spacing w:line="584" w:lineRule="exact"/>
        <w:ind w:firstLine="640" w:firstLineChars="200"/>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1.说明项目主管部门在该项目管理中的职能。</w:t>
      </w:r>
    </w:p>
    <w:p w14:paraId="1CC51032">
      <w:pPr>
        <w:snapToGrid w:val="0"/>
        <w:spacing w:line="520" w:lineRule="exact"/>
        <w:ind w:firstLine="640" w:firstLineChars="200"/>
        <w:rPr>
          <w:rFonts w:hint="eastAsia" w:ascii="宋体" w:hAnsi="宋体" w:eastAsia="仿宋_GB2312"/>
          <w:sz w:val="32"/>
          <w:szCs w:val="32"/>
        </w:rPr>
      </w:pPr>
      <w:r>
        <w:rPr>
          <w:rFonts w:hint="eastAsia" w:ascii="宋体" w:hAnsi="宋体" w:eastAsia="仿宋_GB2312"/>
          <w:sz w:val="32"/>
          <w:szCs w:val="32"/>
          <w:lang w:val="en-US" w:eastAsia="zh-CN"/>
        </w:rPr>
        <w:t>射洪市水上应急救援中心</w:t>
      </w:r>
      <w:r>
        <w:rPr>
          <w:rFonts w:hint="eastAsia" w:ascii="宋体" w:hAnsi="宋体" w:eastAsia="仿宋_GB2312"/>
          <w:sz w:val="32"/>
          <w:szCs w:val="32"/>
        </w:rPr>
        <w:t>负责</w:t>
      </w:r>
    </w:p>
    <w:p w14:paraId="3A41C0F7">
      <w:pPr>
        <w:snapToGrid w:val="0"/>
        <w:spacing w:line="520" w:lineRule="exact"/>
        <w:ind w:firstLine="640" w:firstLineChars="200"/>
        <w:rPr>
          <w:rFonts w:hint="eastAsia" w:eastAsia="仿宋" w:cs="Times New Roman"/>
          <w:color w:val="000000"/>
          <w:sz w:val="32"/>
          <w:szCs w:val="32"/>
          <w:lang w:eastAsia="zh-CN"/>
        </w:rPr>
      </w:pPr>
      <w:r>
        <w:rPr>
          <w:rFonts w:hint="eastAsia" w:ascii="宋体" w:hAnsi="宋体" w:eastAsia="仿宋_GB2312"/>
          <w:sz w:val="32"/>
          <w:szCs w:val="32"/>
          <w:lang w:eastAsia="zh-CN"/>
        </w:rPr>
        <w:t>（</w:t>
      </w:r>
      <w:r>
        <w:rPr>
          <w:rFonts w:hint="eastAsia" w:ascii="宋体" w:hAnsi="宋体" w:eastAsia="仿宋_GB2312"/>
          <w:sz w:val="32"/>
          <w:szCs w:val="32"/>
          <w:lang w:val="en-US" w:eastAsia="zh-CN"/>
        </w:rPr>
        <w:t>1）、</w:t>
      </w:r>
      <w:r>
        <w:rPr>
          <w:rFonts w:hint="eastAsia" w:eastAsia="仿宋" w:cs="Times New Roman"/>
          <w:color w:val="000000"/>
          <w:sz w:val="32"/>
          <w:szCs w:val="32"/>
          <w:lang w:eastAsia="zh-CN"/>
        </w:rPr>
        <w:t>贯彻执行国家、省、市有关水上应急救援法律法规，组织召开成员单位联席会议，收集意见建议，协调突发事件的应急响应、调查和评估工作；</w:t>
      </w:r>
    </w:p>
    <w:p w14:paraId="28BDD431">
      <w:pPr>
        <w:snapToGrid w:val="0"/>
        <w:spacing w:line="520" w:lineRule="exact"/>
        <w:ind w:firstLine="640" w:firstLineChars="200"/>
        <w:rPr>
          <w:rFonts w:hint="eastAsia" w:eastAsia="仿宋" w:cs="Times New Roman"/>
          <w:color w:val="000000"/>
          <w:sz w:val="32"/>
          <w:szCs w:val="32"/>
          <w:lang w:eastAsia="zh-CN"/>
        </w:rPr>
      </w:pPr>
      <w:r>
        <w:rPr>
          <w:rFonts w:hint="eastAsia" w:eastAsia="仿宋" w:cs="Times New Roman"/>
          <w:color w:val="000000"/>
          <w:sz w:val="32"/>
          <w:szCs w:val="32"/>
          <w:lang w:eastAsia="zh-CN"/>
        </w:rPr>
        <w:t>（2）、结合我市实际制定修订水上交通突发事件处置和水上应急救援方案，制定职工队伍的业务学习培训计划并负责组织实施。</w:t>
      </w:r>
    </w:p>
    <w:p w14:paraId="49161F46">
      <w:pPr>
        <w:snapToGrid w:val="0"/>
        <w:spacing w:line="520" w:lineRule="exact"/>
        <w:ind w:firstLine="640" w:firstLineChars="200"/>
        <w:rPr>
          <w:rFonts w:hint="eastAsia" w:eastAsia="仿宋" w:cs="Times New Roman"/>
          <w:color w:val="000000"/>
          <w:sz w:val="32"/>
          <w:szCs w:val="32"/>
          <w:lang w:eastAsia="zh-CN"/>
        </w:rPr>
      </w:pPr>
      <w:r>
        <w:rPr>
          <w:rFonts w:hint="eastAsia" w:eastAsia="仿宋" w:cs="Times New Roman"/>
          <w:color w:val="000000"/>
          <w:sz w:val="32"/>
          <w:szCs w:val="32"/>
          <w:lang w:eastAsia="zh-CN"/>
        </w:rPr>
        <w:t>（3）、负责管辖区域水上交通突发事件处置，开展水上应急救援工作。</w:t>
      </w:r>
    </w:p>
    <w:p w14:paraId="46865044">
      <w:pPr>
        <w:snapToGrid w:val="0"/>
        <w:spacing w:line="520" w:lineRule="exact"/>
        <w:ind w:firstLine="640" w:firstLineChars="200"/>
        <w:rPr>
          <w:rFonts w:hint="eastAsia" w:eastAsia="仿宋" w:cs="Times New Roman"/>
          <w:color w:val="000000"/>
          <w:sz w:val="32"/>
          <w:szCs w:val="32"/>
          <w:lang w:eastAsia="zh-CN"/>
        </w:rPr>
      </w:pPr>
      <w:r>
        <w:rPr>
          <w:rFonts w:hint="eastAsia" w:eastAsia="仿宋" w:cs="Times New Roman"/>
          <w:color w:val="000000"/>
          <w:sz w:val="32"/>
          <w:szCs w:val="32"/>
          <w:lang w:eastAsia="zh-CN"/>
        </w:rPr>
        <w:t>（4）、负责管理水上应急救援24小时值班、接警报警、预警处置，并向上级报告处置情况。</w:t>
      </w:r>
    </w:p>
    <w:p w14:paraId="1623DFDC">
      <w:pPr>
        <w:snapToGrid w:val="0"/>
        <w:spacing w:line="520" w:lineRule="exact"/>
        <w:ind w:firstLine="640" w:firstLineChars="200"/>
        <w:rPr>
          <w:rFonts w:hint="eastAsia" w:ascii="宋体" w:hAnsi="宋体" w:eastAsia="仿宋_GB2312"/>
          <w:sz w:val="32"/>
          <w:szCs w:val="32"/>
        </w:rPr>
      </w:pPr>
      <w:r>
        <w:rPr>
          <w:rFonts w:hint="eastAsia" w:eastAsia="仿宋" w:cs="Times New Roman"/>
          <w:color w:val="000000"/>
          <w:sz w:val="32"/>
          <w:szCs w:val="32"/>
          <w:lang w:eastAsia="zh-CN"/>
        </w:rPr>
        <w:t>（5）、负责水上应急救援站（队）的规范化建设和管理，拟定救援装备计划和管理使用</w:t>
      </w:r>
      <w:r>
        <w:rPr>
          <w:rFonts w:hint="eastAsia" w:ascii="仿宋_GB2312" w:hAnsi="仿宋" w:eastAsia="仿宋_GB2312"/>
          <w:sz w:val="32"/>
          <w:szCs w:val="32"/>
          <w:lang w:eastAsia="zh-CN"/>
        </w:rPr>
        <w:t>。</w:t>
      </w:r>
    </w:p>
    <w:p w14:paraId="65F72585">
      <w:pPr>
        <w:numPr>
          <w:ilvl w:val="0"/>
          <w:numId w:val="0"/>
        </w:numPr>
        <w:spacing w:line="360" w:lineRule="auto"/>
        <w:ind w:firstLine="640" w:firstLineChars="200"/>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2.项目立项、资金申报的依据。</w:t>
      </w:r>
    </w:p>
    <w:p w14:paraId="5E2A8EB4">
      <w:pPr>
        <w:numPr>
          <w:ilvl w:val="0"/>
          <w:numId w:val="0"/>
        </w:numPr>
        <w:spacing w:line="360" w:lineRule="auto"/>
        <w:ind w:firstLine="640" w:firstLineChars="200"/>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根据射洪市水上应急救援中心的职责职能，用于应急抢险船舶的维修保养，燃润油料以及安全维稳等费用，有效保障船舶处于适航状态，遇到险情能够及时出勤，维护好人民群众生命财产安全。</w:t>
      </w:r>
    </w:p>
    <w:p w14:paraId="7B1810BE">
      <w:pPr>
        <w:numPr>
          <w:ilvl w:val="0"/>
          <w:numId w:val="0"/>
        </w:numPr>
        <w:spacing w:line="360" w:lineRule="auto"/>
        <w:ind w:firstLine="640" w:firstLineChars="200"/>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3.资金管理办法制定情况，资金支持具体项目的条件、范围与支持方式概况。</w:t>
      </w:r>
    </w:p>
    <w:p w14:paraId="11730ADE">
      <w:pPr>
        <w:numPr>
          <w:ilvl w:val="0"/>
          <w:numId w:val="0"/>
        </w:numPr>
        <w:spacing w:line="360" w:lineRule="auto"/>
        <w:ind w:firstLine="640" w:firstLineChars="200"/>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该项目主要用于2023年度财政投入12万元，用于应急抢险船舶的维修保养，燃润油料以及安全维稳等费用。</w:t>
      </w:r>
    </w:p>
    <w:p w14:paraId="491ED2CB">
      <w:pPr>
        <w:numPr>
          <w:ilvl w:val="0"/>
          <w:numId w:val="0"/>
        </w:numPr>
        <w:spacing w:line="360" w:lineRule="auto"/>
        <w:ind w:firstLine="640" w:firstLineChars="200"/>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4.资金分配原则及考虑因素。</w:t>
      </w:r>
      <w:bookmarkStart w:id="135" w:name="bookmark28"/>
      <w:bookmarkStart w:id="136" w:name="bookmark27"/>
      <w:bookmarkStart w:id="137" w:name="bookmark29"/>
    </w:p>
    <w:p w14:paraId="13A41A8D">
      <w:pPr>
        <w:numPr>
          <w:ilvl w:val="0"/>
          <w:numId w:val="0"/>
        </w:numPr>
        <w:spacing w:line="360" w:lineRule="auto"/>
        <w:ind w:firstLine="640" w:firstLineChars="200"/>
        <w:rPr>
          <w:rFonts w:hint="default"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水上应急救援工作的需要以及省、市水上应急救援中心的指示要求。</w:t>
      </w:r>
    </w:p>
    <w:p w14:paraId="4D73991A">
      <w:pPr>
        <w:spacing w:line="360" w:lineRule="auto"/>
        <w:ind w:firstLine="640" w:firstLineChars="200"/>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（二）项目绩效目标</w:t>
      </w:r>
    </w:p>
    <w:p w14:paraId="549B3E68">
      <w:pPr>
        <w:pStyle w:val="41"/>
        <w:ind w:firstLine="640" w:firstLineChars="200"/>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1.项目主要内容。</w:t>
      </w:r>
    </w:p>
    <w:p w14:paraId="0C383415">
      <w:pPr>
        <w:pStyle w:val="41"/>
        <w:ind w:firstLine="640" w:firstLineChars="200"/>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满足射洪市水上应急救援中心应急抢险船舶的维修保养，燃润油料以及安全维稳等费用保证，有效保障船舶处于适航状态，遇到险情能够及时出勤，维护好人民群众生命财产安全。</w:t>
      </w:r>
    </w:p>
    <w:p w14:paraId="71145D30">
      <w:pPr>
        <w:numPr>
          <w:ilvl w:val="0"/>
          <w:numId w:val="0"/>
        </w:numPr>
        <w:ind w:firstLine="640" w:firstLineChars="200"/>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2</w:t>
      </w:r>
      <w:r>
        <w:rPr>
          <w:rFonts w:hint="eastAsia" w:ascii="楷体" w:hAnsi="楷体" w:eastAsia="楷体" w:cs="楷体"/>
          <w:b w:val="0"/>
          <w:bCs w:val="0"/>
          <w:i w:val="0"/>
          <w:iCs w:val="0"/>
          <w:caps w:val="0"/>
          <w:smallCaps w:val="0"/>
          <w:strike w:val="0"/>
          <w:color w:val="000000"/>
          <w:spacing w:val="0"/>
          <w:kern w:val="2"/>
          <w:sz w:val="32"/>
          <w:szCs w:val="32"/>
          <w:highlight w:val="none"/>
          <w:u w:val="none"/>
          <w:shd w:val="clear" w:color="auto" w:fill="FFFFFF"/>
          <w:lang w:val="en-US" w:eastAsia="zh-CN" w:bidi="ar-SA"/>
        </w:rPr>
        <w:t>.项目应实现的具体绩效目标，包括目标的量化、细化情况以及项目实施进度计划等。</w:t>
      </w:r>
    </w:p>
    <w:p w14:paraId="3AE59798">
      <w:pPr>
        <w:spacing w:before="156" w:beforeLines="50" w:after="156" w:afterLines="50" w:line="600" w:lineRule="exact"/>
        <w:ind w:firstLine="640" w:firstLineChars="200"/>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整体目标为：2023年度财政投入12万元，用于应急抢险船舶的维修保养，燃润油料以及安全维稳等费用，有效保障船舶处于适航状态，遇到险情能够及时出勤，维护好人民群众生命财产安全。</w:t>
      </w:r>
    </w:p>
    <w:p w14:paraId="17F23C27">
      <w:pPr>
        <w:spacing w:before="156" w:beforeLines="50" w:after="156" w:afterLines="50" w:line="600" w:lineRule="exact"/>
        <w:ind w:firstLine="640" w:firstLineChars="200"/>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具体目标为：</w:t>
      </w:r>
      <w:r>
        <w:rPr>
          <w:rFonts w:hint="eastAsia" w:ascii="仿宋_GB2312" w:hAnsi="仿宋_GB2312" w:eastAsia="仿宋_GB2312" w:cs="仿宋_GB2312"/>
          <w:color w:val="auto"/>
          <w:sz w:val="32"/>
          <w:szCs w:val="32"/>
          <w:highlight w:val="none"/>
          <w:lang w:val="en-US" w:eastAsia="zh-CN" w:bidi="ar-SA"/>
        </w:rPr>
        <w:t>应急抢险、安全维稳出勤次数≥60次，检修船舶数量≥6艘；每艘船舶检修成本≤5000元；每次应急抢险、安全维稳出勤船舶燃润油料成本≤1500元</w:t>
      </w:r>
      <w:r>
        <w:rPr>
          <w:rFonts w:hint="eastAsia" w:ascii="仿宋_GB2312" w:hAnsi="仿宋_GB2312" w:eastAsia="仿宋_GB2312" w:cs="仿宋_GB2312"/>
          <w:sz w:val="32"/>
          <w:szCs w:val="32"/>
          <w:lang w:val="en-US" w:eastAsia="zh-CN" w:bidi="ar-SA"/>
        </w:rPr>
        <w:t>。</w:t>
      </w:r>
    </w:p>
    <w:p w14:paraId="73DA5C1B">
      <w:pPr>
        <w:spacing w:before="156" w:beforeLines="50" w:after="156" w:afterLines="50" w:line="600" w:lineRule="exact"/>
        <w:ind w:firstLine="640" w:firstLineChars="200"/>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本项目年初预算12万元，截至2023年12月底该项目实际使用资金7.1万元，完成计划的59.17%。</w:t>
      </w:r>
    </w:p>
    <w:p w14:paraId="1A5FB384">
      <w:pPr>
        <w:pStyle w:val="41"/>
        <w:numPr>
          <w:ilvl w:val="0"/>
          <w:numId w:val="5"/>
        </w:numPr>
        <w:ind w:firstLine="640"/>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分析评价申报内容是否与实际相符，申报目标是否合理可行。</w:t>
      </w:r>
    </w:p>
    <w:p w14:paraId="02627460">
      <w:pPr>
        <w:numPr>
          <w:ilvl w:val="0"/>
          <w:numId w:val="0"/>
        </w:numPr>
        <w:ind w:firstLine="640" w:firstLineChars="200"/>
        <w:rPr>
          <w:rFonts w:hint="default" w:eastAsia="仿宋_GB2312"/>
          <w:sz w:val="32"/>
          <w:szCs w:val="30"/>
          <w:lang w:val="en-US" w:eastAsia="zh-CN"/>
        </w:rPr>
      </w:pPr>
      <w:r>
        <w:rPr>
          <w:rFonts w:hint="eastAsia" w:eastAsia="仿宋_GB2312"/>
          <w:sz w:val="32"/>
          <w:szCs w:val="30"/>
          <w:lang w:val="en-US" w:eastAsia="zh-CN"/>
        </w:rPr>
        <w:t>项目通过年初预算申报内容与实际相符，申报目标合理。</w:t>
      </w:r>
    </w:p>
    <w:p w14:paraId="0AAEF0EF">
      <w:pPr>
        <w:ind w:firstLine="640" w:firstLineChars="200"/>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（三）项目自评步骤及方法</w:t>
      </w:r>
    </w:p>
    <w:p w14:paraId="48FF6A4D">
      <w:pPr>
        <w:spacing w:line="360" w:lineRule="auto"/>
        <w:ind w:firstLine="640" w:firstLineChars="200"/>
        <w:rPr>
          <w:rFonts w:hint="eastAsia" w:eastAsia="仿宋_GB2312"/>
          <w:sz w:val="32"/>
          <w:szCs w:val="30"/>
        </w:rPr>
      </w:pPr>
      <w:r>
        <w:rPr>
          <w:rFonts w:hint="eastAsia" w:eastAsia="仿宋_GB2312"/>
          <w:sz w:val="32"/>
          <w:szCs w:val="30"/>
        </w:rPr>
        <w:t>通过业主法人自我评价，运行管理单位的效益评价，行业主管部门的评价。</w:t>
      </w:r>
    </w:p>
    <w:p w14:paraId="0193FBBD">
      <w:pPr>
        <w:spacing w:line="360" w:lineRule="auto"/>
        <w:ind w:firstLine="640" w:firstLineChars="200"/>
        <w:outlineLvl w:val="1"/>
        <w:rPr>
          <w:rFonts w:hint="eastAsia" w:ascii="黑体" w:hAnsi="黑体" w:eastAsia="黑体" w:cs="黑体"/>
          <w:b w:val="0"/>
          <w:bCs w:val="0"/>
          <w:i w:val="0"/>
          <w:iCs w:val="0"/>
          <w:caps w:val="0"/>
          <w:smallCaps w:val="0"/>
          <w:strike w:val="0"/>
          <w:color w:val="000000"/>
          <w:spacing w:val="0"/>
          <w:sz w:val="32"/>
          <w:szCs w:val="32"/>
          <w:shd w:val="clear" w:color="auto" w:fill="FFFFFF"/>
          <w:lang w:val="en-US" w:eastAsia="zh-CN"/>
        </w:rPr>
      </w:pPr>
      <w:bookmarkStart w:id="138" w:name="_Toc14528"/>
      <w:bookmarkStart w:id="139" w:name="_Toc17687"/>
      <w:r>
        <w:rPr>
          <w:rFonts w:hint="eastAsia" w:ascii="黑体" w:hAnsi="黑体" w:eastAsia="黑体" w:cs="黑体"/>
          <w:b w:val="0"/>
          <w:bCs w:val="0"/>
          <w:i w:val="0"/>
          <w:iCs w:val="0"/>
          <w:caps w:val="0"/>
          <w:smallCaps w:val="0"/>
          <w:strike w:val="0"/>
          <w:color w:val="000000"/>
          <w:spacing w:val="0"/>
          <w:sz w:val="32"/>
          <w:szCs w:val="32"/>
          <w:shd w:val="clear" w:color="auto" w:fill="FFFFFF"/>
          <w:lang w:val="en-US" w:eastAsia="zh-CN"/>
        </w:rPr>
        <w:t>二、项目资金申报及使用情况</w:t>
      </w:r>
      <w:bookmarkEnd w:id="138"/>
      <w:bookmarkEnd w:id="139"/>
    </w:p>
    <w:p w14:paraId="30017EA2">
      <w:pPr>
        <w:spacing w:line="360" w:lineRule="auto"/>
        <w:ind w:firstLine="640" w:firstLineChars="200"/>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（一)项目资金申报及批复情况</w:t>
      </w:r>
    </w:p>
    <w:p w14:paraId="4C5C7830">
      <w:pPr>
        <w:pStyle w:val="41"/>
        <w:rPr>
          <w:rFonts w:hint="eastAsia" w:ascii="仿宋_GB2312" w:hAnsi="仿宋_GB2312" w:eastAsia="仿宋_GB2312" w:cs="仿宋_GB2312"/>
          <w:b w:val="0"/>
          <w:bCs w:val="0"/>
          <w:i w:val="0"/>
          <w:iCs w:val="0"/>
          <w:caps w:val="0"/>
          <w:smallCaps w:val="0"/>
          <w:strike w:val="0"/>
          <w:color w:val="000000"/>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smallCaps w:val="0"/>
          <w:strike w:val="0"/>
          <w:color w:val="000000"/>
          <w:spacing w:val="0"/>
          <w:sz w:val="32"/>
          <w:szCs w:val="32"/>
          <w:shd w:val="clear" w:color="auto" w:fill="FFFFFF"/>
          <w:lang w:val="en-US" w:eastAsia="zh-CN"/>
        </w:rPr>
        <w:t xml:space="preserve">     2022年12月，我中心向财政局提交了2023年部门预算延续项目支出预算表。财政局给予批复下达了2023年度防汛经费及水上安全维稳等12万元。</w:t>
      </w:r>
    </w:p>
    <w:p w14:paraId="46EE44F3">
      <w:pPr>
        <w:rPr>
          <w:rFonts w:hint="default"/>
          <w:lang w:val="en-US" w:eastAsia="zh-CN"/>
        </w:rPr>
      </w:pPr>
      <w:r>
        <w:rPr>
          <w:rFonts w:hint="eastAsia" w:ascii="仿宋_GB2312" w:hAnsi="仿宋_GB2312" w:eastAsia="仿宋_GB2312" w:cs="仿宋_GB2312"/>
          <w:b w:val="0"/>
          <w:bCs w:val="0"/>
          <w:i w:val="0"/>
          <w:iCs w:val="0"/>
          <w:caps w:val="0"/>
          <w:smallCaps w:val="0"/>
          <w:strike w:val="0"/>
          <w:color w:val="000000"/>
          <w:spacing w:val="0"/>
          <w:sz w:val="32"/>
          <w:szCs w:val="32"/>
          <w:shd w:val="clear" w:color="auto" w:fill="FFFFFF"/>
          <w:lang w:val="en-US" w:eastAsia="zh-CN"/>
        </w:rPr>
        <w:t xml:space="preserve">   </w:t>
      </w: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（二）资金计划、到位及使用情况（可用表格形式反映）</w:t>
      </w:r>
    </w:p>
    <w:bookmarkEnd w:id="135"/>
    <w:bookmarkEnd w:id="136"/>
    <w:bookmarkEnd w:id="137"/>
    <w:p w14:paraId="1CDC9696">
      <w:pPr>
        <w:ind w:firstLine="640"/>
        <w:rPr>
          <w:rFonts w:hint="eastAsia" w:ascii="仿宋_GB2312" w:hAnsi="仿宋_GB2312" w:eastAsia="仿宋_GB2312" w:cs="仿宋_GB2312"/>
          <w:b/>
          <w:bCs/>
          <w:i w:val="0"/>
          <w:iCs w:val="0"/>
          <w:caps w:val="0"/>
          <w:smallCaps w:val="0"/>
          <w:strike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smallCaps w:val="0"/>
          <w:strike w:val="0"/>
          <w:color w:val="000000"/>
          <w:spacing w:val="0"/>
          <w:sz w:val="32"/>
          <w:szCs w:val="32"/>
          <w:shd w:val="clear" w:color="auto" w:fill="FFFFFF"/>
          <w:lang w:val="en-US" w:eastAsia="zh-CN"/>
        </w:rPr>
        <w:t>1.资金计划。</w:t>
      </w:r>
    </w:p>
    <w:p w14:paraId="007B7584">
      <w:pPr>
        <w:numPr>
          <w:ilvl w:val="0"/>
          <w:numId w:val="0"/>
        </w:numPr>
        <w:spacing w:line="360" w:lineRule="auto"/>
        <w:ind w:firstLine="640" w:firstLineChars="200"/>
        <w:rPr>
          <w:rFonts w:hint="default" w:ascii="仿宋_GB2312" w:hAnsi="仿宋_GB2312" w:eastAsia="仿宋_GB2312" w:cs="仿宋_GB2312"/>
          <w:color w:val="auto"/>
          <w:sz w:val="32"/>
          <w:szCs w:val="32"/>
          <w:highlight w:val="none"/>
          <w:lang w:val="en-US" w:eastAsia="zh-CN" w:bidi="ar-SA"/>
        </w:rPr>
      </w:pPr>
      <w:r>
        <w:rPr>
          <w:rFonts w:hint="eastAsia" w:ascii="仿宋_GB2312" w:hAnsi="仿宋_GB2312" w:eastAsia="仿宋_GB2312" w:cs="仿宋_GB2312"/>
          <w:color w:val="auto"/>
          <w:sz w:val="32"/>
          <w:szCs w:val="32"/>
          <w:highlight w:val="none"/>
          <w:lang w:val="en-US" w:eastAsia="zh-CN" w:bidi="ar-SA"/>
        </w:rPr>
        <w:t>2023年度财政投入12万元，用于应急抢险船舶的维修保养，燃润油料以及安全维稳等费用。</w:t>
      </w:r>
    </w:p>
    <w:p w14:paraId="076EF087">
      <w:pPr>
        <w:numPr>
          <w:ilvl w:val="0"/>
          <w:numId w:val="0"/>
        </w:numPr>
        <w:spacing w:line="360" w:lineRule="auto"/>
        <w:ind w:firstLine="643" w:firstLineChars="200"/>
        <w:rPr>
          <w:rFonts w:hint="eastAsia" w:ascii="仿宋_GB2312" w:hAnsi="仿宋_GB2312" w:eastAsia="仿宋_GB2312" w:cs="仿宋_GB2312"/>
          <w:b/>
          <w:bCs/>
          <w:i w:val="0"/>
          <w:iCs w:val="0"/>
          <w:caps w:val="0"/>
          <w:smallCaps w:val="0"/>
          <w:strike w:val="0"/>
          <w:color w:val="000000"/>
          <w:spacing w:val="0"/>
          <w:sz w:val="32"/>
          <w:szCs w:val="32"/>
          <w:shd w:val="clear" w:color="auto" w:fill="FFFFFF"/>
          <w:lang w:val="en-US" w:eastAsia="zh-CN"/>
        </w:rPr>
      </w:pPr>
      <w:r>
        <w:rPr>
          <w:rFonts w:hint="eastAsia" w:ascii="仿宋_GB2312" w:hAnsi="仿宋_GB2312" w:eastAsia="仿宋_GB2312" w:cs="仿宋_GB2312"/>
          <w:b/>
          <w:bCs/>
          <w:i w:val="0"/>
          <w:iCs w:val="0"/>
          <w:caps w:val="0"/>
          <w:smallCaps w:val="0"/>
          <w:strike w:val="0"/>
          <w:color w:val="000000"/>
          <w:spacing w:val="0"/>
          <w:sz w:val="32"/>
          <w:szCs w:val="32"/>
          <w:shd w:val="clear" w:color="auto" w:fill="FFFFFF"/>
          <w:lang w:val="en-US" w:eastAsia="zh-CN"/>
        </w:rPr>
        <w:t>2.资金到位。</w:t>
      </w:r>
    </w:p>
    <w:p w14:paraId="742AA160">
      <w:pPr>
        <w:numPr>
          <w:ilvl w:val="0"/>
          <w:numId w:val="0"/>
        </w:numPr>
        <w:spacing w:line="360" w:lineRule="auto"/>
        <w:ind w:firstLine="640" w:firstLineChars="200"/>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年初项目申报资金12万元，年底资金到位12万元。</w:t>
      </w:r>
    </w:p>
    <w:p w14:paraId="5102ACBF">
      <w:pPr>
        <w:keepNext w:val="0"/>
        <w:keepLines w:val="0"/>
        <w:pageBreakBefore w:val="0"/>
        <w:numPr>
          <w:ilvl w:val="0"/>
          <w:numId w:val="0"/>
        </w:numPr>
        <w:kinsoku/>
        <w:wordWrap/>
        <w:overflowPunct/>
        <w:topLinePunct w:val="0"/>
        <w:autoSpaceDE/>
        <w:autoSpaceDN/>
        <w:bidi w:val="0"/>
        <w:adjustRightInd w:val="0"/>
        <w:snapToGrid w:val="0"/>
        <w:spacing w:line="600" w:lineRule="exact"/>
        <w:ind w:left="640" w:leftChars="0"/>
        <w:textAlignment w:val="auto"/>
        <w:rPr>
          <w:rFonts w:hint="eastAsia" w:ascii="仿宋" w:hAnsi="仿宋" w:eastAsia="仿宋" w:cs="仿宋"/>
          <w:b/>
          <w:bCs/>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bCs/>
          <w:i w:val="0"/>
          <w:iCs w:val="0"/>
          <w:caps w:val="0"/>
          <w:smallCaps w:val="0"/>
          <w:strike w:val="0"/>
          <w:color w:val="000000"/>
          <w:spacing w:val="0"/>
          <w:kern w:val="2"/>
          <w:sz w:val="32"/>
          <w:szCs w:val="32"/>
          <w:u w:val="none"/>
          <w:shd w:val="clear" w:color="auto" w:fill="FFFFFF"/>
          <w:lang w:val="en-US" w:eastAsia="zh-CN" w:bidi="ar-SA"/>
        </w:rPr>
        <w:t>3.资金使用。</w:t>
      </w:r>
    </w:p>
    <w:p w14:paraId="5483CEAF">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_GB2312" w:hAnsi="宋体" w:eastAsia="仿宋_GB2312" w:cs="Times New Roman"/>
          <w:color w:val="auto"/>
          <w:sz w:val="32"/>
          <w:szCs w:val="32"/>
          <w:highlight w:val="none"/>
          <w:lang w:val="zh-CN"/>
        </w:rPr>
        <w:t>截至2023年12月底资金支付</w:t>
      </w:r>
      <w:r>
        <w:rPr>
          <w:rFonts w:hint="eastAsia" w:ascii="仿宋_GB2312" w:hAnsi="宋体" w:eastAsia="仿宋_GB2312" w:cs="Times New Roman"/>
          <w:color w:val="auto"/>
          <w:sz w:val="32"/>
          <w:szCs w:val="32"/>
          <w:highlight w:val="none"/>
          <w:lang w:val="en-US" w:eastAsia="zh-CN"/>
        </w:rPr>
        <w:t>7.1</w:t>
      </w:r>
      <w:r>
        <w:rPr>
          <w:rFonts w:hint="eastAsia" w:ascii="仿宋_GB2312" w:hAnsi="宋体" w:eastAsia="仿宋_GB2312" w:cs="Times New Roman"/>
          <w:color w:val="auto"/>
          <w:sz w:val="32"/>
          <w:szCs w:val="32"/>
          <w:highlight w:val="none"/>
          <w:lang w:val="zh-CN"/>
        </w:rPr>
        <w:t>万元，</w:t>
      </w:r>
      <w:r>
        <w:rPr>
          <w:rFonts w:hint="eastAsia" w:ascii="仿宋_GB2312" w:hAnsi="宋体" w:eastAsia="仿宋_GB2312" w:cs="Times New Roman"/>
          <w:color w:val="auto"/>
          <w:sz w:val="32"/>
          <w:szCs w:val="32"/>
          <w:highlight w:val="none"/>
          <w:lang w:val="en-US" w:eastAsia="zh-CN"/>
        </w:rPr>
        <w:t>全部用于年初预算相关工作</w:t>
      </w:r>
      <w:r>
        <w:rPr>
          <w:rFonts w:hint="eastAsia" w:ascii="仿宋_GB2312" w:hAnsi="宋体" w:eastAsia="仿宋_GB2312" w:cs="Times New Roman"/>
          <w:color w:val="auto"/>
          <w:sz w:val="32"/>
          <w:szCs w:val="32"/>
          <w:highlight w:val="none"/>
          <w:lang w:val="zh-CN"/>
        </w:rPr>
        <w:t>。</w:t>
      </w:r>
      <w:r>
        <w:rPr>
          <w:rFonts w:hint="eastAsia" w:ascii="仿宋_GB2312" w:hAnsi="宋体" w:eastAsia="仿宋_GB2312" w:cs="Times New Roman"/>
          <w:color w:val="auto"/>
          <w:sz w:val="32"/>
          <w:szCs w:val="32"/>
          <w:highlight w:val="none"/>
          <w:lang w:val="en-US" w:eastAsia="zh-CN"/>
        </w:rPr>
        <w:t>项目资金通过账户转账支付，资金使用安全、规范、及时，凭证齐全，符合财经制度，预算执行率59.17%。</w:t>
      </w:r>
    </w:p>
    <w:p w14:paraId="0BECDA12">
      <w:pPr>
        <w:keepNext w:val="0"/>
        <w:keepLines w:val="0"/>
        <w:pageBreakBefore w:val="0"/>
        <w:kinsoku/>
        <w:wordWrap/>
        <w:overflowPunct/>
        <w:topLinePunct w:val="0"/>
        <w:autoSpaceDE/>
        <w:autoSpaceDN/>
        <w:bidi w:val="0"/>
        <w:adjustRightInd w:val="0"/>
        <w:snapToGrid w:val="0"/>
        <w:spacing w:line="600" w:lineRule="exact"/>
        <w:ind w:firstLine="720"/>
        <w:textAlignment w:val="auto"/>
        <w:outlineLvl w:val="1"/>
        <w:rPr>
          <w:rFonts w:hint="eastAsia" w:ascii="黑体" w:hAnsi="宋体" w:eastAsia="黑体" w:cs="Times New Roman"/>
          <w:color w:val="auto"/>
          <w:sz w:val="32"/>
          <w:szCs w:val="32"/>
          <w:highlight w:val="none"/>
        </w:rPr>
      </w:pPr>
      <w:bookmarkStart w:id="140" w:name="_Toc7531"/>
      <w:bookmarkStart w:id="141" w:name="_Toc5929"/>
      <w:r>
        <w:rPr>
          <w:rFonts w:hint="eastAsia" w:ascii="黑体" w:hAnsi="宋体" w:eastAsia="黑体" w:cs="Times New Roman"/>
          <w:color w:val="auto"/>
          <w:sz w:val="32"/>
          <w:szCs w:val="32"/>
          <w:highlight w:val="none"/>
        </w:rPr>
        <w:t>三、项目实施及管理情况</w:t>
      </w:r>
      <w:bookmarkEnd w:id="140"/>
      <w:bookmarkEnd w:id="141"/>
    </w:p>
    <w:p w14:paraId="6267D052">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结合项目组织实施管理办法，重点围绕以下内容进行分析评价，并对自评中发现的问题分析说明。</w:t>
      </w:r>
    </w:p>
    <w:p w14:paraId="3675527A">
      <w:pPr>
        <w:keepNext w:val="0"/>
        <w:keepLines w:val="0"/>
        <w:pageBreakBefore w:val="0"/>
        <w:numPr>
          <w:ilvl w:val="0"/>
          <w:numId w:val="6"/>
        </w:numPr>
        <w:kinsoku/>
        <w:wordWrap/>
        <w:overflowPunct/>
        <w:topLinePunct w:val="0"/>
        <w:autoSpaceDE/>
        <w:autoSpaceDN/>
        <w:bidi w:val="0"/>
        <w:adjustRightInd w:val="0"/>
        <w:snapToGrid w:val="0"/>
        <w:spacing w:line="600" w:lineRule="exact"/>
        <w:ind w:firstLine="720"/>
        <w:textAlignment w:val="auto"/>
        <w:rPr>
          <w:rFonts w:hint="eastAsia"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项目组织架构及实施流程。</w:t>
      </w:r>
    </w:p>
    <w:p w14:paraId="0A4B70F9">
      <w:pPr>
        <w:spacing w:before="156" w:beforeLines="50" w:after="156" w:afterLines="50" w:line="600" w:lineRule="exact"/>
        <w:ind w:firstLine="640" w:firstLineChars="200"/>
        <w:rPr>
          <w:rFonts w:hint="eastAsia" w:ascii="仿宋_GB2312" w:hAnsi="仿宋_GB2312" w:eastAsia="仿宋_GB2312" w:cs="仿宋_GB2312"/>
          <w:sz w:val="32"/>
          <w:szCs w:val="32"/>
          <w:lang w:val="zh-CN" w:eastAsia="zh-CN" w:bidi="ar-SA"/>
        </w:rPr>
      </w:pPr>
      <w:r>
        <w:rPr>
          <w:rFonts w:hint="eastAsia" w:ascii="仿宋_GB2312" w:hAnsi="仿宋_GB2312" w:eastAsia="仿宋_GB2312" w:cs="仿宋_GB2312"/>
          <w:sz w:val="32"/>
          <w:szCs w:val="32"/>
          <w:lang w:val="zh-CN" w:eastAsia="zh-CN" w:bidi="ar-SA"/>
        </w:rPr>
        <w:t>项目由我</w:t>
      </w:r>
      <w:r>
        <w:rPr>
          <w:rFonts w:hint="eastAsia" w:ascii="仿宋_GB2312" w:hAnsi="仿宋_GB2312" w:eastAsia="仿宋_GB2312" w:cs="仿宋_GB2312"/>
          <w:sz w:val="32"/>
          <w:szCs w:val="32"/>
          <w:lang w:val="en-US" w:eastAsia="zh-CN" w:bidi="ar-SA"/>
        </w:rPr>
        <w:t>中心</w:t>
      </w:r>
      <w:r>
        <w:rPr>
          <w:rFonts w:hint="eastAsia" w:ascii="仿宋_GB2312" w:hAnsi="仿宋_GB2312" w:eastAsia="仿宋_GB2312" w:cs="仿宋_GB2312"/>
          <w:sz w:val="32"/>
          <w:szCs w:val="32"/>
          <w:lang w:val="zh-CN" w:eastAsia="zh-CN" w:bidi="ar-SA"/>
        </w:rPr>
        <w:t>牵头，组织、邀请相关专业人士参与、实施，我委负责监督指导，绩效评价。</w:t>
      </w:r>
    </w:p>
    <w:p w14:paraId="53DAD90E">
      <w:pPr>
        <w:keepNext w:val="0"/>
        <w:keepLines w:val="0"/>
        <w:pageBreakBefore w:val="0"/>
        <w:numPr>
          <w:ilvl w:val="0"/>
          <w:numId w:val="6"/>
        </w:numPr>
        <w:kinsoku/>
        <w:wordWrap/>
        <w:overflowPunct/>
        <w:topLinePunct w:val="0"/>
        <w:autoSpaceDE/>
        <w:autoSpaceDN/>
        <w:bidi w:val="0"/>
        <w:adjustRightInd w:val="0"/>
        <w:snapToGrid w:val="0"/>
        <w:spacing w:line="600" w:lineRule="exact"/>
        <w:ind w:left="0" w:leftChars="0" w:firstLine="720" w:firstLineChars="0"/>
        <w:textAlignment w:val="auto"/>
        <w:rPr>
          <w:rFonts w:hint="eastAsia"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项目管理情况。</w:t>
      </w:r>
    </w:p>
    <w:p w14:paraId="6CA799FC">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zh-CN"/>
        </w:rPr>
        <w:t>结合项目特点，总体评价各项目实施单位执行相关法律法规及项目管理制度等情况，如招投标、政府采购、项目公示制等相关规定。严格执行法律法规及项目管理制度，</w:t>
      </w:r>
      <w:r>
        <w:rPr>
          <w:rFonts w:hint="eastAsia" w:ascii="仿宋_GB2312" w:hAnsi="宋体" w:eastAsia="仿宋_GB2312" w:cs="Times New Roman"/>
          <w:color w:val="auto"/>
          <w:sz w:val="32"/>
          <w:szCs w:val="32"/>
          <w:highlight w:val="none"/>
          <w:lang w:val="en-US" w:eastAsia="zh-CN"/>
        </w:rPr>
        <w:t>该项目资金使用属于配套资金，其资金支付的项目均按照招标投标相关程序和规范进行了项目的招标</w:t>
      </w:r>
      <w:r>
        <w:rPr>
          <w:rFonts w:hint="eastAsia" w:ascii="仿宋_GB2312" w:hAnsi="宋体" w:eastAsia="仿宋_GB2312" w:cs="Times New Roman"/>
          <w:color w:val="auto"/>
          <w:sz w:val="32"/>
          <w:szCs w:val="32"/>
          <w:highlight w:val="none"/>
          <w:lang w:val="zh-CN" w:eastAsia="zh-CN"/>
        </w:rPr>
        <w:t>、</w:t>
      </w:r>
      <w:r>
        <w:rPr>
          <w:rFonts w:hint="eastAsia" w:ascii="仿宋_GB2312" w:hAnsi="宋体" w:eastAsia="仿宋_GB2312" w:cs="Times New Roman"/>
          <w:color w:val="auto"/>
          <w:sz w:val="32"/>
          <w:szCs w:val="32"/>
          <w:highlight w:val="none"/>
          <w:lang w:val="en-US" w:eastAsia="zh-CN"/>
        </w:rPr>
        <w:t>并在指定媒体上进行公示和公告</w:t>
      </w:r>
      <w:r>
        <w:rPr>
          <w:rFonts w:hint="eastAsia" w:ascii="仿宋_GB2312" w:hAnsi="宋体" w:eastAsia="仿宋_GB2312" w:cs="Times New Roman"/>
          <w:color w:val="auto"/>
          <w:sz w:val="32"/>
          <w:szCs w:val="32"/>
          <w:highlight w:val="none"/>
          <w:lang w:val="zh-CN"/>
        </w:rPr>
        <w:t>。</w:t>
      </w:r>
    </w:p>
    <w:p w14:paraId="7A3FD054">
      <w:pPr>
        <w:keepNext w:val="0"/>
        <w:keepLines w:val="0"/>
        <w:pageBreakBefore w:val="0"/>
        <w:numPr>
          <w:ilvl w:val="0"/>
          <w:numId w:val="6"/>
        </w:numPr>
        <w:kinsoku/>
        <w:wordWrap/>
        <w:overflowPunct/>
        <w:topLinePunct w:val="0"/>
        <w:autoSpaceDE/>
        <w:autoSpaceDN/>
        <w:bidi w:val="0"/>
        <w:adjustRightInd w:val="0"/>
        <w:snapToGrid w:val="0"/>
        <w:spacing w:line="600" w:lineRule="exact"/>
        <w:ind w:left="0" w:leftChars="0" w:firstLine="720" w:firstLineChars="0"/>
        <w:textAlignment w:val="auto"/>
        <w:rPr>
          <w:rFonts w:hint="eastAsia" w:asciiTheme="minorEastAsia" w:hAnsiTheme="minorEastAsia" w:cstheme="minorEastAsia"/>
          <w:sz w:val="28"/>
          <w:szCs w:val="28"/>
          <w:lang w:val="en-US" w:eastAsia="zh-CN"/>
        </w:rPr>
      </w:pPr>
      <w:r>
        <w:rPr>
          <w:rFonts w:hint="eastAsia" w:ascii="楷体_GB2312" w:hAnsi="宋体" w:eastAsia="楷体_GB2312" w:cs="Times New Roman"/>
          <w:b w:val="0"/>
          <w:bCs/>
          <w:color w:val="auto"/>
          <w:sz w:val="32"/>
          <w:szCs w:val="32"/>
          <w:highlight w:val="none"/>
          <w:lang w:val="zh-CN"/>
        </w:rPr>
        <w:t>项目监管情况。</w:t>
      </w:r>
      <w:r>
        <w:rPr>
          <w:rFonts w:hint="eastAsia" w:asciiTheme="minorEastAsia" w:hAnsiTheme="minorEastAsia" w:cstheme="minorEastAsia"/>
          <w:sz w:val="28"/>
          <w:szCs w:val="28"/>
          <w:lang w:val="en-US" w:eastAsia="zh-CN"/>
        </w:rPr>
        <w:t xml:space="preserve"> </w:t>
      </w:r>
    </w:p>
    <w:p w14:paraId="4B894F9D">
      <w:pPr>
        <w:keepNext w:val="0"/>
        <w:keepLines w:val="0"/>
        <w:pageBreakBefore w:val="0"/>
        <w:numPr>
          <w:ilvl w:val="0"/>
          <w:numId w:val="0"/>
        </w:numPr>
        <w:kinsoku/>
        <w:wordWrap/>
        <w:overflowPunct/>
        <w:topLinePunct w:val="0"/>
        <w:autoSpaceDE/>
        <w:autoSpaceDN/>
        <w:bidi w:val="0"/>
        <w:adjustRightInd w:val="0"/>
        <w:snapToGrid w:val="0"/>
        <w:spacing w:line="600" w:lineRule="exact"/>
        <w:ind w:firstLine="640" w:firstLineChars="200"/>
        <w:textAlignment w:val="auto"/>
        <w:rPr>
          <w:rFonts w:ascii="仿宋_GB2312" w:hAnsi="宋体" w:eastAsia="仿宋_GB2312" w:cs="Times New Roman"/>
          <w:color w:val="auto"/>
          <w:sz w:val="32"/>
          <w:szCs w:val="32"/>
          <w:highlight w:val="none"/>
          <w:lang w:val="zh-CN"/>
        </w:rPr>
      </w:pPr>
      <w:r>
        <w:rPr>
          <w:rFonts w:hint="eastAsia" w:ascii="仿宋_GB2312" w:hAnsi="宋体" w:eastAsia="仿宋_GB2312" w:cs="Times New Roman"/>
          <w:color w:val="auto"/>
          <w:sz w:val="32"/>
          <w:szCs w:val="32"/>
          <w:highlight w:val="none"/>
          <w:lang w:val="en-US" w:eastAsia="zh-CN"/>
        </w:rPr>
        <w:t>项目资金的使用严格按照上级有关规定及单位的内控制度进行，实施效果达到绩效目标要求。</w:t>
      </w:r>
      <w:r>
        <w:rPr>
          <w:rFonts w:hint="eastAsia" w:ascii="仿宋_GB2312" w:hAnsi="宋体" w:eastAsia="仿宋_GB2312" w:cs="Times New Roman"/>
          <w:color w:val="auto"/>
          <w:sz w:val="32"/>
          <w:szCs w:val="32"/>
          <w:highlight w:val="none"/>
          <w:lang w:val="zh-CN"/>
        </w:rPr>
        <w:br w:type="textWrapping"/>
      </w:r>
      <w:r>
        <w:rPr>
          <w:rFonts w:hint="eastAsia" w:ascii="仿宋_GB2312" w:hAnsi="宋体" w:eastAsia="仿宋_GB2312" w:cs="Times New Roman"/>
          <w:color w:val="auto"/>
          <w:sz w:val="32"/>
          <w:szCs w:val="32"/>
          <w:highlight w:val="none"/>
          <w:lang w:val="en-US" w:eastAsia="zh-CN"/>
        </w:rPr>
        <w:t xml:space="preserve">   </w:t>
      </w:r>
      <w:r>
        <w:rPr>
          <w:rFonts w:hint="eastAsia" w:ascii="黑体" w:hAnsi="宋体" w:eastAsia="黑体" w:cs="Times New Roman"/>
          <w:color w:val="auto"/>
          <w:sz w:val="32"/>
          <w:szCs w:val="32"/>
          <w:highlight w:val="none"/>
        </w:rPr>
        <w:t>四、项目绩效情况</w:t>
      </w:r>
      <w:r>
        <w:rPr>
          <w:rFonts w:hint="eastAsia" w:ascii="仿宋_GB2312" w:hAnsi="宋体" w:eastAsia="仿宋_GB2312" w:cs="Times New Roman"/>
          <w:color w:val="auto"/>
          <w:sz w:val="32"/>
          <w:szCs w:val="32"/>
          <w:highlight w:val="none"/>
          <w:lang w:val="zh-CN"/>
        </w:rPr>
        <w:tab/>
      </w:r>
    </w:p>
    <w:p w14:paraId="3F0853B4">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（一）项目完成情况。</w:t>
      </w:r>
    </w:p>
    <w:p w14:paraId="4C970E33">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_GB2312" w:hAnsi="仿宋" w:eastAsia="仿宋_GB2312" w:cs="Times New Roman"/>
          <w:sz w:val="32"/>
          <w:szCs w:val="32"/>
          <w:lang w:val="en-US" w:eastAsia="zh-CN"/>
        </w:rPr>
      </w:pPr>
      <w:r>
        <w:rPr>
          <w:rFonts w:hint="eastAsia" w:ascii="仿宋_GB2312" w:hAnsi="仿宋" w:eastAsia="仿宋_GB2312" w:cs="Times New Roman"/>
          <w:sz w:val="32"/>
          <w:szCs w:val="32"/>
          <w:lang w:val="en-US" w:eastAsia="zh-CN"/>
        </w:rPr>
        <w:t>该项目财政预算12万元，实际支出7.1万元，保障船舶处于适航状态，遇到险情能够及时出勤，维护好人民群众生命财产安全。</w:t>
      </w:r>
    </w:p>
    <w:p w14:paraId="2BC0F414">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（二）项目效益情况。</w:t>
      </w:r>
    </w:p>
    <w:p w14:paraId="4C494063">
      <w:pPr>
        <w:ind w:firstLine="640"/>
        <w:rPr>
          <w:rFonts w:hint="default" w:ascii="仿宋_GB2312" w:hAnsi="宋体" w:eastAsia="仿宋_GB2312" w:cs="Times New Roman"/>
          <w:color w:val="auto"/>
          <w:sz w:val="32"/>
          <w:szCs w:val="32"/>
          <w:highlight w:val="none"/>
          <w:lang w:val="en-US" w:eastAsia="zh-CN"/>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从防汛经费及水上安全维稳等立项情况看，项目立项规范，内容合理，项目绩效目标合理明晰，符合相关政策。从项目管理方面看，资金涉及项目均制定了相应的项目管理、执行制度和方案，制度执行基本规范有效。从项目建设方面看，专项资金所涉及项目均已实施完毕。从项目实施效果看，各项业务社会效益显著，可持续影响明显，群众满意度显著提高。</w:t>
      </w:r>
    </w:p>
    <w:p w14:paraId="1FC707D2">
      <w:pPr>
        <w:keepNext w:val="0"/>
        <w:keepLines w:val="0"/>
        <w:pageBreakBefore w:val="0"/>
        <w:kinsoku/>
        <w:wordWrap/>
        <w:overflowPunct/>
        <w:topLinePunct w:val="0"/>
        <w:autoSpaceDE/>
        <w:autoSpaceDN/>
        <w:bidi w:val="0"/>
        <w:adjustRightInd w:val="0"/>
        <w:snapToGrid w:val="0"/>
        <w:spacing w:line="600" w:lineRule="exact"/>
        <w:ind w:firstLine="720"/>
        <w:textAlignment w:val="auto"/>
        <w:outlineLvl w:val="1"/>
        <w:rPr>
          <w:rFonts w:ascii="黑体" w:hAnsi="宋体" w:eastAsia="黑体" w:cs="Times New Roman"/>
          <w:color w:val="auto"/>
          <w:sz w:val="32"/>
          <w:szCs w:val="32"/>
          <w:highlight w:val="none"/>
        </w:rPr>
      </w:pPr>
      <w:bookmarkStart w:id="142" w:name="_Toc23383"/>
      <w:bookmarkStart w:id="143" w:name="_Toc32750"/>
      <w:r>
        <w:rPr>
          <w:rFonts w:hint="eastAsia" w:ascii="黑体" w:hAnsi="宋体" w:eastAsia="黑体" w:cs="Times New Roman"/>
          <w:color w:val="auto"/>
          <w:sz w:val="32"/>
          <w:szCs w:val="32"/>
          <w:highlight w:val="none"/>
        </w:rPr>
        <w:t>五、评价结论及建议</w:t>
      </w:r>
      <w:bookmarkEnd w:id="142"/>
      <w:bookmarkEnd w:id="143"/>
    </w:p>
    <w:p w14:paraId="1E911C1F">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（一）评价结论。</w:t>
      </w:r>
    </w:p>
    <w:p w14:paraId="4B375C07">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hint="eastAsia" w:ascii="仿宋" w:hAnsi="仿宋" w:eastAsia="仿宋"/>
          <w:sz w:val="32"/>
          <w:szCs w:val="32"/>
          <w:highlight w:val="none"/>
          <w:lang w:val="en-US" w:eastAsia="zh-CN"/>
        </w:rPr>
      </w:pPr>
      <w:r>
        <w:rPr>
          <w:rFonts w:hint="eastAsia" w:ascii="仿宋" w:hAnsi="仿宋" w:eastAsia="仿宋"/>
          <w:sz w:val="32"/>
          <w:szCs w:val="32"/>
          <w:highlight w:val="none"/>
          <w:lang w:val="en-US" w:eastAsia="zh-CN"/>
        </w:rPr>
        <w:t>通过绩效评价和具体工作，2023年度防汛经费及水上安全维稳等经费基本做到项目立项规范合理，资金使用合法合规，项目建设有序推进，资金效果逐步显现。2023年防汛经费及水上安全维稳等资金保障了船舶处于适航状态，遇到险情能够及时出勤，维护好人民群众生命财产安全。</w:t>
      </w:r>
    </w:p>
    <w:p w14:paraId="5EA17153">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（二）存在的问题。</w:t>
      </w:r>
    </w:p>
    <w:p w14:paraId="6256825E">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财务制度不够完善，资产管理不够严谨，业务素质有待提高，预算数与决算数有脱节的现象。</w:t>
      </w:r>
    </w:p>
    <w:p w14:paraId="5C5EA915">
      <w:pPr>
        <w:keepNext w:val="0"/>
        <w:keepLines w:val="0"/>
        <w:pageBreakBefore w:val="0"/>
        <w:kinsoku/>
        <w:wordWrap/>
        <w:overflowPunct/>
        <w:topLinePunct w:val="0"/>
        <w:autoSpaceDE/>
        <w:autoSpaceDN/>
        <w:bidi w:val="0"/>
        <w:adjustRightInd w:val="0"/>
        <w:snapToGrid w:val="0"/>
        <w:spacing w:line="600" w:lineRule="exact"/>
        <w:ind w:firstLine="720"/>
        <w:textAlignment w:val="auto"/>
        <w:rPr>
          <w:rFonts w:ascii="楷体_GB2312" w:hAnsi="宋体" w:eastAsia="楷体_GB2312" w:cs="Times New Roman"/>
          <w:b w:val="0"/>
          <w:bCs/>
          <w:color w:val="auto"/>
          <w:sz w:val="32"/>
          <w:szCs w:val="32"/>
          <w:highlight w:val="none"/>
          <w:lang w:val="zh-CN"/>
        </w:rPr>
      </w:pPr>
      <w:r>
        <w:rPr>
          <w:rFonts w:hint="eastAsia" w:ascii="楷体_GB2312" w:hAnsi="宋体" w:eastAsia="楷体_GB2312" w:cs="Times New Roman"/>
          <w:b w:val="0"/>
          <w:bCs/>
          <w:color w:val="auto"/>
          <w:sz w:val="32"/>
          <w:szCs w:val="32"/>
          <w:highlight w:val="none"/>
          <w:lang w:val="zh-CN"/>
        </w:rPr>
        <w:t>（三）相关建议。</w:t>
      </w:r>
    </w:p>
    <w:p w14:paraId="7304C9C4">
      <w:pPr>
        <w:keepNext w:val="0"/>
        <w:keepLines w:val="0"/>
        <w:pageBreakBefore w:val="0"/>
        <w:kinsoku/>
        <w:wordWrap/>
        <w:overflowPunct/>
        <w:topLinePunct w:val="0"/>
        <w:autoSpaceDE/>
        <w:autoSpaceDN/>
        <w:bidi w:val="0"/>
        <w:adjustRightInd w:val="0"/>
        <w:snapToGrid w:val="0"/>
        <w:spacing w:line="600" w:lineRule="exact"/>
        <w:ind w:firstLine="640" w:firstLineChars="200"/>
        <w:textAlignment w:val="auto"/>
        <w:rPr>
          <w:rFonts w:hint="eastAsia" w:ascii="仿宋_GB2312" w:hAnsi="宋体" w:eastAsia="仿宋_GB2312" w:cs="Times New Roman"/>
          <w:color w:val="auto"/>
          <w:sz w:val="32"/>
          <w:szCs w:val="32"/>
          <w:highlight w:val="none"/>
          <w:lang w:val="en-US" w:eastAsia="zh-CN"/>
        </w:rPr>
      </w:pPr>
      <w:r>
        <w:rPr>
          <w:rFonts w:hint="eastAsia" w:ascii="仿宋_GB2312" w:hAnsi="宋体" w:eastAsia="仿宋_GB2312" w:cs="Times New Roman"/>
          <w:color w:val="auto"/>
          <w:sz w:val="32"/>
          <w:szCs w:val="32"/>
          <w:highlight w:val="none"/>
          <w:lang w:val="en-US" w:eastAsia="zh-CN"/>
        </w:rPr>
        <w:t>加强监管，做到监管机制环环相扣，不出现断层、行政事业单位预算是财政总预算的基础，它是党和国家方针政策和社会发展战略在行政事业单位预算中的体现，是单位正常开展业务活动的重要经济保证。</w:t>
      </w:r>
    </w:p>
    <w:p w14:paraId="4343EACC">
      <w:pPr>
        <w:rPr>
          <w:rFonts w:hint="eastAsia" w:ascii="黑体" w:hAnsi="黑体" w:eastAsia="黑体"/>
        </w:rPr>
      </w:pPr>
      <w:r>
        <w:rPr>
          <w:rFonts w:hint="eastAsia" w:ascii="黑体" w:hAnsi="黑体" w:eastAsia="黑体"/>
        </w:rPr>
        <w:br w:type="page"/>
      </w:r>
    </w:p>
    <w:p w14:paraId="6C95BDF7">
      <w:pPr>
        <w:keepNext w:val="0"/>
        <w:keepLines w:val="0"/>
        <w:pageBreakBefore w:val="0"/>
        <w:widowControl w:val="0"/>
        <w:kinsoku/>
        <w:wordWrap/>
        <w:overflowPunct/>
        <w:topLinePunct w:val="0"/>
        <w:autoSpaceDE/>
        <w:autoSpaceDN/>
        <w:bidi w:val="0"/>
        <w:adjustRightInd/>
        <w:snapToGrid w:val="0"/>
        <w:spacing w:line="700" w:lineRule="exact"/>
        <w:jc w:val="center"/>
        <w:textAlignment w:val="auto"/>
        <w:outlineLvl w:val="1"/>
        <w:rPr>
          <w:rFonts w:hint="eastAsia" w:ascii="Times New Roman" w:hAnsi="Times New Roman" w:eastAsia="Arial Unicode MS" w:cs="Times New Roman"/>
          <w:sz w:val="36"/>
          <w:szCs w:val="36"/>
          <w:lang w:val="en-US" w:eastAsia="zh-CN"/>
        </w:rPr>
      </w:pPr>
      <w:bookmarkStart w:id="144" w:name="_Toc22968"/>
      <w:bookmarkStart w:id="145" w:name="_Toc27682"/>
      <w:r>
        <w:rPr>
          <w:rFonts w:hint="eastAsia" w:ascii="Times New Roman" w:hAnsi="Times New Roman" w:eastAsia="Arial Unicode MS" w:cs="Times New Roman"/>
          <w:sz w:val="36"/>
          <w:szCs w:val="36"/>
          <w:lang w:val="en-US" w:eastAsia="zh-CN"/>
        </w:rPr>
        <w:t>射洪市水上应急救援中心</w:t>
      </w:r>
      <w:bookmarkEnd w:id="144"/>
      <w:bookmarkEnd w:id="145"/>
    </w:p>
    <w:p w14:paraId="721494A6">
      <w:pPr>
        <w:spacing w:before="107" w:line="297" w:lineRule="auto"/>
        <w:ind w:left="3469" w:right="598" w:hanging="2720"/>
        <w:rPr>
          <w:rFonts w:hint="eastAsia" w:ascii="仿宋" w:hAnsi="仿宋" w:eastAsia="仿宋" w:cs="仿宋"/>
          <w:b/>
          <w:bCs/>
          <w:sz w:val="36"/>
          <w:szCs w:val="36"/>
        </w:rPr>
      </w:pPr>
      <w:r>
        <w:rPr>
          <w:rFonts w:hint="eastAsia" w:ascii="仿宋" w:hAnsi="仿宋" w:eastAsia="仿宋" w:cs="仿宋"/>
          <w:b/>
          <w:bCs/>
          <w:sz w:val="36"/>
          <w:szCs w:val="36"/>
          <w:lang w:val="en-US" w:eastAsia="zh-CN"/>
        </w:rPr>
        <w:t>2023年度防汛经费及水上安全维稳</w:t>
      </w:r>
      <w:r>
        <w:rPr>
          <w:rFonts w:hint="eastAsia" w:ascii="仿宋" w:hAnsi="仿宋" w:eastAsia="仿宋" w:cs="仿宋"/>
          <w:b/>
          <w:bCs/>
          <w:spacing w:val="-13"/>
          <w:sz w:val="36"/>
          <w:szCs w:val="36"/>
        </w:rPr>
        <w:t>项目</w:t>
      </w:r>
      <w:r>
        <w:rPr>
          <w:rFonts w:hint="eastAsia" w:ascii="仿宋" w:hAnsi="仿宋" w:eastAsia="仿宋" w:cs="仿宋"/>
          <w:b/>
          <w:bCs/>
          <w:spacing w:val="-11"/>
          <w:sz w:val="36"/>
          <w:szCs w:val="36"/>
        </w:rPr>
        <w:t>支出绩效自评表</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9"/>
        <w:gridCol w:w="740"/>
        <w:gridCol w:w="1441"/>
        <w:gridCol w:w="796"/>
        <w:gridCol w:w="394"/>
        <w:gridCol w:w="390"/>
        <w:gridCol w:w="448"/>
        <w:gridCol w:w="477"/>
        <w:gridCol w:w="338"/>
        <w:gridCol w:w="390"/>
        <w:gridCol w:w="672"/>
        <w:gridCol w:w="295"/>
        <w:gridCol w:w="459"/>
        <w:gridCol w:w="459"/>
        <w:gridCol w:w="474"/>
      </w:tblGrid>
      <w:tr w14:paraId="22C33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3"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3C5A">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单位信息：</w:t>
            </w:r>
          </w:p>
        </w:tc>
        <w:tc>
          <w:tcPr>
            <w:tcW w:w="12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6986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136003-射洪市水上应急救援中心</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D8661">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项目名称：</w:t>
            </w:r>
          </w:p>
        </w:tc>
        <w:tc>
          <w:tcPr>
            <w:tcW w:w="12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94A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防汛经费及水上安全维稳等1</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A880D">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职能职责与活动：</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83D7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12-公路、水路运输管理/03-其他交通事务管理</w:t>
            </w:r>
          </w:p>
        </w:tc>
      </w:tr>
      <w:tr w14:paraId="37558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2CEE">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主管部门：</w:t>
            </w:r>
          </w:p>
        </w:tc>
        <w:tc>
          <w:tcPr>
            <w:tcW w:w="12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35B1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136-射洪市交通运输局部门</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DBE4">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项目经办人：</w:t>
            </w:r>
          </w:p>
        </w:tc>
        <w:tc>
          <w:tcPr>
            <w:tcW w:w="12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D1879">
            <w:pPr>
              <w:jc w:val="left"/>
              <w:rPr>
                <w:rFonts w:hint="eastAsia" w:ascii="等线" w:hAnsi="等线" w:eastAsia="等线" w:cs="等线"/>
                <w:i w:val="0"/>
                <w:iCs w:val="0"/>
                <w:color w:val="000000"/>
                <w:sz w:val="18"/>
                <w:szCs w:val="18"/>
                <w:u w:val="none"/>
              </w:rPr>
            </w:pP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EF17">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项目总额：</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BF9252E">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120000</w:t>
            </w:r>
          </w:p>
        </w:tc>
      </w:tr>
      <w:tr w14:paraId="30205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A9395">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预算执行率权重(%)：</w:t>
            </w:r>
          </w:p>
        </w:tc>
        <w:tc>
          <w:tcPr>
            <w:tcW w:w="127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3D65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567DB">
            <w:pPr>
              <w:keepNext w:val="0"/>
              <w:keepLines w:val="0"/>
              <w:widowControl/>
              <w:suppressLineNumbers w:val="0"/>
              <w:jc w:val="lef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项目经办人电话：</w:t>
            </w:r>
          </w:p>
        </w:tc>
        <w:tc>
          <w:tcPr>
            <w:tcW w:w="1201"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821F8">
            <w:pPr>
              <w:jc w:val="left"/>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20C07">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其中：</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5EE1E">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财政资金：</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C2628">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120000 </w:t>
            </w:r>
          </w:p>
        </w:tc>
      </w:tr>
      <w:tr w14:paraId="089E9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14:paraId="406D29BE">
            <w:pPr>
              <w:keepNext w:val="0"/>
              <w:keepLines w:val="0"/>
              <w:widowControl/>
              <w:suppressLineNumbers w:val="0"/>
              <w:jc w:val="left"/>
              <w:textAlignment w:val="top"/>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整体目标：</w:t>
            </w:r>
          </w:p>
        </w:tc>
        <w:tc>
          <w:tcPr>
            <w:tcW w:w="2947" w:type="pct"/>
            <w:gridSpan w:val="8"/>
            <w:vMerge w:val="restart"/>
            <w:tcBorders>
              <w:top w:val="single" w:color="000000" w:sz="4" w:space="0"/>
              <w:left w:val="single" w:color="000000" w:sz="4" w:space="0"/>
              <w:bottom w:val="single" w:color="000000" w:sz="4" w:space="0"/>
              <w:right w:val="single" w:color="000000" w:sz="4" w:space="0"/>
            </w:tcBorders>
            <w:shd w:val="clear" w:color="auto" w:fill="auto"/>
            <w:vAlign w:val="top"/>
          </w:tcPr>
          <w:p w14:paraId="26E3E6DC">
            <w:pPr>
              <w:keepNext w:val="0"/>
              <w:keepLines w:val="0"/>
              <w:widowControl/>
              <w:suppressLineNumbers w:val="0"/>
              <w:jc w:val="left"/>
              <w:textAlignment w:val="top"/>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2023年度财政投入12万元，用于应急抢险船舶的维修保养，燃润油料以及安全维稳等费用，有效保障船舶处于适航状态，遇到险情能够及时出勤，维护好人民群众生命财产安全。</w:t>
            </w: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020C4">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财政专户管理资金：</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27D4A">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0 </w:t>
            </w:r>
          </w:p>
        </w:tc>
      </w:tr>
      <w:tr w14:paraId="66D8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770E783E">
            <w:pPr>
              <w:jc w:val="left"/>
              <w:rPr>
                <w:rFonts w:hint="eastAsia" w:ascii="等线" w:hAnsi="等线" w:eastAsia="等线" w:cs="等线"/>
                <w:b/>
                <w:bCs/>
                <w:i w:val="0"/>
                <w:iCs w:val="0"/>
                <w:color w:val="000000"/>
                <w:sz w:val="18"/>
                <w:szCs w:val="18"/>
                <w:u w:val="none"/>
              </w:rPr>
            </w:pPr>
          </w:p>
        </w:tc>
        <w:tc>
          <w:tcPr>
            <w:tcW w:w="2947"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74C508C0">
            <w:pPr>
              <w:jc w:val="left"/>
              <w:rPr>
                <w:rFonts w:hint="eastAsia" w:ascii="等线" w:hAnsi="等线" w:eastAsia="等线" w:cs="等线"/>
                <w:i w:val="0"/>
                <w:iCs w:val="0"/>
                <w:color w:val="000000"/>
                <w:sz w:val="18"/>
                <w:szCs w:val="18"/>
                <w:u w:val="none"/>
              </w:rPr>
            </w:pP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345FE">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单位资金：</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0D715">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0 </w:t>
            </w:r>
          </w:p>
        </w:tc>
      </w:tr>
      <w:tr w14:paraId="23690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09EA31A2">
            <w:pPr>
              <w:jc w:val="left"/>
              <w:rPr>
                <w:rFonts w:hint="eastAsia" w:ascii="等线" w:hAnsi="等线" w:eastAsia="等线" w:cs="等线"/>
                <w:b/>
                <w:bCs/>
                <w:i w:val="0"/>
                <w:iCs w:val="0"/>
                <w:color w:val="000000"/>
                <w:sz w:val="18"/>
                <w:szCs w:val="18"/>
                <w:u w:val="none"/>
              </w:rPr>
            </w:pPr>
          </w:p>
        </w:tc>
        <w:tc>
          <w:tcPr>
            <w:tcW w:w="2947"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0CD1F70B">
            <w:pPr>
              <w:jc w:val="left"/>
              <w:rPr>
                <w:rFonts w:hint="eastAsia" w:ascii="等线" w:hAnsi="等线" w:eastAsia="等线" w:cs="等线"/>
                <w:i w:val="0"/>
                <w:iCs w:val="0"/>
                <w:color w:val="000000"/>
                <w:sz w:val="18"/>
                <w:szCs w:val="18"/>
                <w:u w:val="none"/>
              </w:rPr>
            </w:pP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F9FA3">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社会投入资金：</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DB4E2">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0 </w:t>
            </w:r>
          </w:p>
        </w:tc>
      </w:tr>
      <w:tr w14:paraId="73D9BE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top"/>
          </w:tcPr>
          <w:p w14:paraId="1BB45FBE">
            <w:pPr>
              <w:jc w:val="left"/>
              <w:rPr>
                <w:rFonts w:hint="eastAsia" w:ascii="等线" w:hAnsi="等线" w:eastAsia="等线" w:cs="等线"/>
                <w:b/>
                <w:bCs/>
                <w:i w:val="0"/>
                <w:iCs w:val="0"/>
                <w:color w:val="000000"/>
                <w:sz w:val="18"/>
                <w:szCs w:val="18"/>
                <w:u w:val="none"/>
              </w:rPr>
            </w:pPr>
          </w:p>
        </w:tc>
        <w:tc>
          <w:tcPr>
            <w:tcW w:w="2947" w:type="pct"/>
            <w:gridSpan w:val="8"/>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14:paraId="6192BDD0">
            <w:pPr>
              <w:jc w:val="left"/>
              <w:rPr>
                <w:rFonts w:hint="eastAsia" w:ascii="等线" w:hAnsi="等线" w:eastAsia="等线" w:cs="等线"/>
                <w:i w:val="0"/>
                <w:iCs w:val="0"/>
                <w:color w:val="000000"/>
                <w:sz w:val="18"/>
                <w:szCs w:val="18"/>
                <w:u w:val="none"/>
              </w:rPr>
            </w:pPr>
          </w:p>
        </w:tc>
        <w:tc>
          <w:tcPr>
            <w:tcW w:w="62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F8C17">
            <w:pPr>
              <w:keepNext w:val="0"/>
              <w:keepLines w:val="0"/>
              <w:widowControl/>
              <w:suppressLineNumbers w:val="0"/>
              <w:jc w:val="right"/>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银行贷款：</w:t>
            </w:r>
          </w:p>
        </w:tc>
        <w:tc>
          <w:tcPr>
            <w:tcW w:w="989"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1338">
            <w:pPr>
              <w:keepNext w:val="0"/>
              <w:keepLines w:val="0"/>
              <w:widowControl/>
              <w:suppressLineNumbers w:val="0"/>
              <w:jc w:val="righ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 xml:space="preserve">0 </w:t>
            </w:r>
          </w:p>
        </w:tc>
      </w:tr>
      <w:tr w14:paraId="1D2A7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258B6">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一级指标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B821C">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二级指标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526F">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三级指标</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A433D">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指标性质</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BF378">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历史参考值</w:t>
            </w: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F7C9">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指标值</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EEDAC">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度量单位</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91F17">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权重（%）</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16281">
            <w:pPr>
              <w:keepNext w:val="0"/>
              <w:keepLines w:val="0"/>
              <w:widowControl/>
              <w:suppressLineNumbers w:val="0"/>
              <w:jc w:val="center"/>
              <w:textAlignment w:val="center"/>
              <w:rPr>
                <w:rFonts w:hint="eastAsia" w:ascii="等线" w:hAnsi="等线" w:eastAsia="等线" w:cs="等线"/>
                <w:b/>
                <w:bCs/>
                <w:i w:val="0"/>
                <w:iCs w:val="0"/>
                <w:color w:val="000000"/>
                <w:sz w:val="18"/>
                <w:szCs w:val="18"/>
                <w:u w:val="none"/>
              </w:rPr>
            </w:pPr>
            <w:r>
              <w:rPr>
                <w:rFonts w:hint="eastAsia" w:ascii="等线" w:hAnsi="等线" w:eastAsia="等线" w:cs="等线"/>
                <w:b/>
                <w:bCs/>
                <w:i w:val="0"/>
                <w:iCs w:val="0"/>
                <w:color w:val="000000"/>
                <w:kern w:val="0"/>
                <w:sz w:val="18"/>
                <w:szCs w:val="18"/>
                <w:u w:val="none"/>
                <w:lang w:val="en-US" w:eastAsia="zh-CN" w:bidi="ar"/>
              </w:rPr>
              <w:t>备注</w:t>
            </w: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86EFF">
            <w:pPr>
              <w:rPr>
                <w:rFonts w:hint="eastAsia" w:ascii="等线" w:hAnsi="等线" w:eastAsia="等线" w:cs="等线"/>
                <w:b/>
                <w:bCs/>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0B5CB">
            <w:pPr>
              <w:jc w:val="cente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4B7A">
            <w:pPr>
              <w:jc w:val="cente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2634E">
            <w:pPr>
              <w:jc w:val="cente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C7F57">
            <w:pPr>
              <w:jc w:val="cente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A16BF">
            <w:pPr>
              <w:jc w:val="center"/>
              <w:rPr>
                <w:rFonts w:hint="eastAsia" w:ascii="等线" w:hAnsi="等线" w:eastAsia="等线" w:cs="等线"/>
                <w:i w:val="0"/>
                <w:iCs w:val="0"/>
                <w:color w:val="000000"/>
                <w:sz w:val="18"/>
                <w:szCs w:val="18"/>
                <w:u w:val="none"/>
              </w:rPr>
            </w:pPr>
          </w:p>
        </w:tc>
      </w:tr>
      <w:tr w14:paraId="56D79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58485">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1BA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0E834">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应急抢险、安全维稳出勤次数</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D1F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A1276">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3684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60</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BCB9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次</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C3FF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5858">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AC78">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240A7">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794AB">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B9FFD">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877B4">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B409">
            <w:pPr>
              <w:rPr>
                <w:rFonts w:hint="eastAsia" w:ascii="等线" w:hAnsi="等线" w:eastAsia="等线" w:cs="等线"/>
                <w:i w:val="0"/>
                <w:iCs w:val="0"/>
                <w:color w:val="000000"/>
                <w:sz w:val="18"/>
                <w:szCs w:val="18"/>
                <w:u w:val="none"/>
              </w:rPr>
            </w:pPr>
          </w:p>
        </w:tc>
      </w:tr>
      <w:tr w14:paraId="2508D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38F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B110">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数量指标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052CE">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检修船舶数量</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39B8D">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001F">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0812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6</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45C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艘</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30C04">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A49D8">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53CD3">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6D2FE">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36604">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533AB">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470E">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0F4C1">
            <w:pPr>
              <w:rPr>
                <w:rFonts w:hint="eastAsia" w:ascii="等线" w:hAnsi="等线" w:eastAsia="等线" w:cs="等线"/>
                <w:i w:val="0"/>
                <w:iCs w:val="0"/>
                <w:color w:val="000000"/>
                <w:sz w:val="18"/>
                <w:szCs w:val="18"/>
                <w:u w:val="none"/>
              </w:rPr>
            </w:pPr>
          </w:p>
        </w:tc>
      </w:tr>
      <w:tr w14:paraId="09338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17C3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184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质量指标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6DF9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船舶适航率</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DBB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56C3">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93A12">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95</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D8DB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A254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023A">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2694C">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8E283">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6F1D7">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8E2D2">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6292">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C3197">
            <w:pPr>
              <w:rPr>
                <w:rFonts w:hint="eastAsia" w:ascii="等线" w:hAnsi="等线" w:eastAsia="等线" w:cs="等线"/>
                <w:i w:val="0"/>
                <w:iCs w:val="0"/>
                <w:color w:val="000000"/>
                <w:sz w:val="18"/>
                <w:szCs w:val="18"/>
                <w:u w:val="none"/>
              </w:rPr>
            </w:pPr>
          </w:p>
        </w:tc>
      </w:tr>
      <w:tr w14:paraId="29BAB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8D09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产出指标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0A5FA">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时效指标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980F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支付费用周期</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D98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4D2B3">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AC4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CD4B4">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年</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0184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9350E">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8FB84">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BDDDC">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9DB0">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B955">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8CE3D">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DA513">
            <w:pPr>
              <w:rPr>
                <w:rFonts w:hint="eastAsia" w:ascii="等线" w:hAnsi="等线" w:eastAsia="等线" w:cs="等线"/>
                <w:i w:val="0"/>
                <w:iCs w:val="0"/>
                <w:color w:val="000000"/>
                <w:sz w:val="18"/>
                <w:szCs w:val="18"/>
                <w:u w:val="none"/>
              </w:rPr>
            </w:pPr>
          </w:p>
        </w:tc>
      </w:tr>
      <w:tr w14:paraId="32323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8581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7FA07">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社会效益指标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4F4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船舶及时出勤，保障人民生命财产安全</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349E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定性</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B8429">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756A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C3E0BB">
            <w:pP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FE9D0">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15</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CE709">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CCFD8">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8182E">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66136">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88CC">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8C238">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6577C">
            <w:pPr>
              <w:rPr>
                <w:rFonts w:hint="eastAsia" w:ascii="等线" w:hAnsi="等线" w:eastAsia="等线" w:cs="等线"/>
                <w:i w:val="0"/>
                <w:iCs w:val="0"/>
                <w:color w:val="000000"/>
                <w:sz w:val="18"/>
                <w:szCs w:val="18"/>
                <w:u w:val="none"/>
              </w:rPr>
            </w:pPr>
          </w:p>
        </w:tc>
      </w:tr>
      <w:tr w14:paraId="6627E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FC74">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效益指标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A0BA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可持续影响指标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E7036">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广大人民群众安全出行</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F02B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定性</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0766">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63F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优</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6DF32">
            <w:pPr>
              <w:rPr>
                <w:rFonts w:hint="eastAsia" w:ascii="等线" w:hAnsi="等线" w:eastAsia="等线" w:cs="等线"/>
                <w:i w:val="0"/>
                <w:iCs w:val="0"/>
                <w:color w:val="000000"/>
                <w:sz w:val="18"/>
                <w:szCs w:val="18"/>
                <w:u w:val="none"/>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A541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15</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CA3A8">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D462">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F909">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D55FB">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7EEB4">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8D7D0">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A7C74">
            <w:pPr>
              <w:rPr>
                <w:rFonts w:hint="eastAsia" w:ascii="等线" w:hAnsi="等线" w:eastAsia="等线" w:cs="等线"/>
                <w:i w:val="0"/>
                <w:iCs w:val="0"/>
                <w:color w:val="000000"/>
                <w:sz w:val="18"/>
                <w:szCs w:val="18"/>
                <w:u w:val="none"/>
              </w:rPr>
            </w:pPr>
          </w:p>
        </w:tc>
      </w:tr>
      <w:tr w14:paraId="59B80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3615E">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满意度指标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4864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服务对象满意度指标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12B6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社会群众满意度</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F02D">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ED7CB">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BAD9F">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95</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92E67">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A1A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10</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90266">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01915">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76CD5">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FE0FD">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F106F">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3EF89">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793C">
            <w:pPr>
              <w:rPr>
                <w:rFonts w:hint="eastAsia" w:ascii="等线" w:hAnsi="等线" w:eastAsia="等线" w:cs="等线"/>
                <w:i w:val="0"/>
                <w:iCs w:val="0"/>
                <w:color w:val="000000"/>
                <w:sz w:val="18"/>
                <w:szCs w:val="18"/>
                <w:u w:val="none"/>
              </w:rPr>
            </w:pPr>
          </w:p>
        </w:tc>
      </w:tr>
      <w:tr w14:paraId="03BC8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E9E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0F428">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经济成本指标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76AF1">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每艘船舶检修成本</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4EDBD">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9E719">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D27C">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5000</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0105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元</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4207A">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5</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6700">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37CC8">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53D5B">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CE313">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838E1">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6933B">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B167">
            <w:pPr>
              <w:rPr>
                <w:rFonts w:hint="eastAsia" w:ascii="等线" w:hAnsi="等线" w:eastAsia="等线" w:cs="等线"/>
                <w:i w:val="0"/>
                <w:iCs w:val="0"/>
                <w:color w:val="000000"/>
                <w:sz w:val="18"/>
                <w:szCs w:val="18"/>
                <w:u w:val="none"/>
              </w:rPr>
            </w:pPr>
          </w:p>
        </w:tc>
      </w:tr>
      <w:tr w14:paraId="097D0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F1E6">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成本指标</w:t>
            </w:r>
          </w:p>
        </w:tc>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8C272">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经济成本指标</w:t>
            </w:r>
          </w:p>
        </w:tc>
        <w:tc>
          <w:tcPr>
            <w:tcW w:w="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6595">
            <w:pPr>
              <w:keepNext w:val="0"/>
              <w:keepLines w:val="0"/>
              <w:widowControl/>
              <w:suppressLineNumbers w:val="0"/>
              <w:jc w:val="center"/>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每次应急抢险、安全维稳出勤船舶燃润油料成本</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503B">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w:t>
            </w:r>
          </w:p>
        </w:tc>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1AC2E">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C93E9">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1500</w:t>
            </w:r>
          </w:p>
        </w:tc>
        <w:tc>
          <w:tcPr>
            <w:tcW w:w="2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977E1">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元</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559F3">
            <w:pPr>
              <w:keepNext w:val="0"/>
              <w:keepLines w:val="0"/>
              <w:widowControl/>
              <w:suppressLineNumbers w:val="0"/>
              <w:jc w:val="left"/>
              <w:textAlignment w:val="center"/>
              <w:rPr>
                <w:rFonts w:hint="eastAsia" w:ascii="等线" w:hAnsi="等线" w:eastAsia="等线" w:cs="等线"/>
                <w:i w:val="0"/>
                <w:iCs w:val="0"/>
                <w:color w:val="000000"/>
                <w:sz w:val="18"/>
                <w:szCs w:val="18"/>
                <w:u w:val="none"/>
              </w:rPr>
            </w:pPr>
            <w:r>
              <w:rPr>
                <w:rFonts w:hint="eastAsia" w:ascii="等线" w:hAnsi="等线" w:eastAsia="等线" w:cs="等线"/>
                <w:i w:val="0"/>
                <w:iCs w:val="0"/>
                <w:color w:val="000000"/>
                <w:kern w:val="0"/>
                <w:sz w:val="18"/>
                <w:szCs w:val="18"/>
                <w:u w:val="none"/>
                <w:lang w:val="en-US" w:eastAsia="zh-CN" w:bidi="ar"/>
              </w:rPr>
              <w:t>5</w:t>
            </w: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02916">
            <w:pPr>
              <w:rPr>
                <w:rFonts w:hint="eastAsia" w:ascii="等线" w:hAnsi="等线" w:eastAsia="等线" w:cs="等线"/>
                <w:i w:val="0"/>
                <w:iCs w:val="0"/>
                <w:color w:val="000000"/>
                <w:sz w:val="18"/>
                <w:szCs w:val="18"/>
                <w:u w:val="none"/>
              </w:rPr>
            </w:pPr>
          </w:p>
        </w:tc>
        <w:tc>
          <w:tcPr>
            <w:tcW w:w="2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7DE0F">
            <w:pPr>
              <w:rPr>
                <w:rFonts w:hint="eastAsia" w:ascii="等线" w:hAnsi="等线" w:eastAsia="等线" w:cs="等线"/>
                <w:i w:val="0"/>
                <w:iCs w:val="0"/>
                <w:color w:val="000000"/>
                <w:sz w:val="18"/>
                <w:szCs w:val="18"/>
                <w:u w:val="none"/>
              </w:rPr>
            </w:pP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E0B6F">
            <w:pPr>
              <w:rPr>
                <w:rFonts w:hint="eastAsia" w:ascii="等线" w:hAnsi="等线" w:eastAsia="等线" w:cs="等线"/>
                <w:i w:val="0"/>
                <w:iCs w:val="0"/>
                <w:color w:val="000000"/>
                <w:sz w:val="18"/>
                <w:szCs w:val="18"/>
                <w:u w:val="none"/>
              </w:rPr>
            </w:pPr>
          </w:p>
        </w:tc>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E2261">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9672">
            <w:pPr>
              <w:rPr>
                <w:rFonts w:hint="eastAsia" w:ascii="等线" w:hAnsi="等线" w:eastAsia="等线" w:cs="等线"/>
                <w:i w:val="0"/>
                <w:iCs w:val="0"/>
                <w:color w:val="000000"/>
                <w:sz w:val="18"/>
                <w:szCs w:val="18"/>
                <w:u w:val="none"/>
              </w:rPr>
            </w:pP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8127F">
            <w:pPr>
              <w:rPr>
                <w:rFonts w:hint="eastAsia" w:ascii="等线" w:hAnsi="等线" w:eastAsia="等线" w:cs="等线"/>
                <w:i w:val="0"/>
                <w:iCs w:val="0"/>
                <w:color w:val="000000"/>
                <w:sz w:val="18"/>
                <w:szCs w:val="18"/>
                <w:u w:val="none"/>
              </w:rPr>
            </w:pPr>
          </w:p>
        </w:tc>
        <w:tc>
          <w:tcPr>
            <w:tcW w:w="2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8347">
            <w:pPr>
              <w:rPr>
                <w:rFonts w:hint="eastAsia" w:ascii="等线" w:hAnsi="等线" w:eastAsia="等线" w:cs="等线"/>
                <w:i w:val="0"/>
                <w:iCs w:val="0"/>
                <w:color w:val="000000"/>
                <w:sz w:val="18"/>
                <w:szCs w:val="18"/>
                <w:u w:val="none"/>
              </w:rPr>
            </w:pPr>
          </w:p>
        </w:tc>
      </w:tr>
    </w:tbl>
    <w:p w14:paraId="5F29E2DA">
      <w:pPr>
        <w:rPr>
          <w:rFonts w:hint="eastAsia" w:ascii="黑体" w:hAnsi="黑体" w:eastAsia="黑体"/>
        </w:rPr>
      </w:pPr>
      <w:r>
        <w:rPr>
          <w:rFonts w:hint="eastAsia" w:ascii="黑体" w:hAnsi="黑体" w:eastAsia="黑体"/>
        </w:rPr>
        <w:br w:type="page"/>
      </w:r>
    </w:p>
    <w:p w14:paraId="556DB250">
      <w:pPr>
        <w:keepNext w:val="0"/>
        <w:keepLines w:val="0"/>
        <w:pageBreakBefore w:val="0"/>
        <w:widowControl w:val="0"/>
        <w:kinsoku/>
        <w:wordWrap/>
        <w:overflowPunct/>
        <w:topLinePunct w:val="0"/>
        <w:autoSpaceDE/>
        <w:autoSpaceDN/>
        <w:bidi w:val="0"/>
        <w:adjustRightInd/>
        <w:snapToGrid w:val="0"/>
        <w:spacing w:after="0" w:line="700" w:lineRule="exact"/>
        <w:jc w:val="center"/>
        <w:textAlignment w:val="auto"/>
        <w:rPr>
          <w:rFonts w:hint="eastAsia" w:ascii="Times New Roman" w:hAnsi="Times New Roman" w:eastAsia="微软雅黑" w:cs="Times New Roman"/>
          <w:kern w:val="2"/>
          <w:sz w:val="36"/>
          <w:szCs w:val="36"/>
          <w:lang w:val="en-US" w:eastAsia="zh-CN"/>
        </w:rPr>
      </w:pPr>
      <w:r>
        <w:rPr>
          <w:rFonts w:hint="eastAsia" w:ascii="Times New Roman" w:hAnsi="Times New Roman" w:eastAsia="微软雅黑" w:cs="Times New Roman"/>
          <w:kern w:val="2"/>
          <w:sz w:val="36"/>
          <w:szCs w:val="36"/>
          <w:lang w:val="en-US" w:eastAsia="zh-CN"/>
        </w:rPr>
        <w:t>四川省射洪市地方海事处</w:t>
      </w:r>
    </w:p>
    <w:p w14:paraId="0BEF1CA7">
      <w:pPr>
        <w:keepNext w:val="0"/>
        <w:keepLines w:val="0"/>
        <w:pageBreakBefore w:val="0"/>
        <w:widowControl w:val="0"/>
        <w:kinsoku/>
        <w:wordWrap/>
        <w:overflowPunct/>
        <w:topLinePunct w:val="0"/>
        <w:autoSpaceDE/>
        <w:autoSpaceDN/>
        <w:bidi w:val="0"/>
        <w:adjustRightInd/>
        <w:snapToGrid w:val="0"/>
        <w:spacing w:after="0" w:line="700" w:lineRule="exact"/>
        <w:jc w:val="center"/>
        <w:textAlignment w:val="auto"/>
        <w:rPr>
          <w:rFonts w:hint="eastAsia" w:ascii="Times New Roman" w:hAnsi="Times New Roman" w:eastAsia="微软雅黑" w:cs="Times New Roman"/>
          <w:kern w:val="2"/>
          <w:sz w:val="36"/>
          <w:szCs w:val="36"/>
          <w:lang w:val="en-US" w:eastAsia="zh-CN"/>
        </w:rPr>
      </w:pPr>
      <w:r>
        <w:rPr>
          <w:rFonts w:hint="eastAsia" w:ascii="Times New Roman" w:hAnsi="Times New Roman" w:eastAsia="微软雅黑" w:cs="Times New Roman"/>
          <w:kern w:val="2"/>
          <w:sz w:val="36"/>
          <w:szCs w:val="36"/>
          <w:lang w:val="en-US" w:eastAsia="zh-CN"/>
        </w:rPr>
        <w:t>2023年度涪江、梓江设置航道标志专项经费项目支出绩效自评报告</w:t>
      </w:r>
    </w:p>
    <w:p w14:paraId="1B7B7BCA">
      <w:pPr>
        <w:pStyle w:val="5"/>
        <w:rPr>
          <w:rFonts w:hint="eastAsia"/>
          <w:lang w:val="en-US" w:eastAsia="zh-CN"/>
        </w:rPr>
      </w:pPr>
    </w:p>
    <w:p w14:paraId="4C2A04A7">
      <w:pPr>
        <w:keepNext w:val="0"/>
        <w:keepLines w:val="0"/>
        <w:pageBreakBefore w:val="0"/>
        <w:kinsoku/>
        <w:wordWrap/>
        <w:overflowPunct/>
        <w:topLinePunct w:val="0"/>
        <w:autoSpaceDE/>
        <w:autoSpaceDN/>
        <w:bidi w:val="0"/>
        <w:spacing w:after="0" w:line="600" w:lineRule="exact"/>
        <w:ind w:firstLine="722"/>
        <w:jc w:val="left"/>
        <w:textAlignment w:val="auto"/>
        <w:outlineLvl w:val="1"/>
        <w:rPr>
          <w:rFonts w:hint="default" w:ascii="黑体" w:hAnsi="黑体" w:eastAsia="黑体"/>
          <w:b w:val="0"/>
          <w:bCs w:val="0"/>
          <w:sz w:val="32"/>
          <w:lang w:val="en-US" w:eastAsia="zh-CN"/>
        </w:rPr>
      </w:pPr>
      <w:bookmarkStart w:id="146" w:name="_Toc599"/>
      <w:bookmarkStart w:id="147" w:name="_Toc10672"/>
      <w:r>
        <w:rPr>
          <w:rFonts w:hint="eastAsia" w:ascii="黑体" w:hAnsi="黑体" w:eastAsia="黑体"/>
          <w:b w:val="0"/>
          <w:bCs w:val="0"/>
          <w:sz w:val="32"/>
        </w:rPr>
        <w:t>一、</w:t>
      </w:r>
      <w:r>
        <w:rPr>
          <w:rFonts w:hint="eastAsia" w:ascii="黑体" w:hAnsi="黑体" w:eastAsia="黑体"/>
          <w:b w:val="0"/>
          <w:bCs w:val="0"/>
          <w:sz w:val="32"/>
          <w:lang w:val="en-US" w:eastAsia="zh-CN"/>
        </w:rPr>
        <w:t>项目概况</w:t>
      </w:r>
      <w:bookmarkEnd w:id="146"/>
      <w:bookmarkEnd w:id="147"/>
    </w:p>
    <w:p w14:paraId="39B59AF0">
      <w:pPr>
        <w:keepNext w:val="0"/>
        <w:keepLines w:val="0"/>
        <w:pageBreakBefore w:val="0"/>
        <w:widowControl/>
        <w:kinsoku/>
        <w:wordWrap/>
        <w:overflowPunct/>
        <w:topLinePunct w:val="0"/>
        <w:autoSpaceDE/>
        <w:autoSpaceDN/>
        <w:bidi w:val="0"/>
        <w:adjustRightInd w:val="0"/>
        <w:snapToGrid w:val="0"/>
        <w:spacing w:after="0" w:line="560" w:lineRule="exact"/>
        <w:ind w:firstLine="722"/>
        <w:jc w:val="left"/>
        <w:textAlignment w:val="auto"/>
        <w:rPr>
          <w:rFonts w:hint="eastAsia" w:ascii="楷体_GB2312" w:hAnsi="楷体_GB2312" w:eastAsia="楷体_GB2312" w:cs="楷体_GB2312"/>
          <w:b/>
          <w:bCs/>
          <w:sz w:val="36"/>
          <w:szCs w:val="32"/>
        </w:rPr>
      </w:pPr>
      <w:r>
        <w:rPr>
          <w:rFonts w:hint="eastAsia" w:ascii="楷体_GB2312" w:hAnsi="楷体_GB2312" w:eastAsia="楷体_GB2312" w:cs="楷体_GB2312"/>
          <w:bCs/>
          <w:sz w:val="32"/>
        </w:rPr>
        <w:t>（一）</w:t>
      </w:r>
      <w:r>
        <w:rPr>
          <w:rFonts w:hint="eastAsia" w:ascii="楷体_GB2312" w:hAnsi="楷体_GB2312" w:eastAsia="楷体_GB2312" w:cs="楷体_GB2312"/>
          <w:bCs/>
          <w:sz w:val="32"/>
          <w:lang w:val="en-US" w:eastAsia="zh-CN"/>
        </w:rPr>
        <w:t>项目基本</w:t>
      </w:r>
      <w:r>
        <w:rPr>
          <w:rFonts w:hint="eastAsia" w:ascii="楷体_GB2312" w:hAnsi="楷体_GB2312" w:eastAsia="楷体_GB2312" w:cs="楷体_GB2312"/>
          <w:bCs/>
          <w:sz w:val="32"/>
        </w:rPr>
        <w:t>情况</w:t>
      </w:r>
    </w:p>
    <w:p w14:paraId="78DDC48A">
      <w:pPr>
        <w:keepNext w:val="0"/>
        <w:keepLines w:val="0"/>
        <w:pageBreakBefore w:val="0"/>
        <w:widowControl/>
        <w:tabs>
          <w:tab w:val="left" w:pos="5655"/>
        </w:tabs>
        <w:kinsoku/>
        <w:wordWrap/>
        <w:overflowPunct/>
        <w:topLinePunct w:val="0"/>
        <w:autoSpaceDE/>
        <w:autoSpaceDN/>
        <w:bidi w:val="0"/>
        <w:adjustRightInd w:val="0"/>
        <w:snapToGrid w:val="0"/>
        <w:spacing w:after="0" w:line="560" w:lineRule="exact"/>
        <w:ind w:firstLine="640" w:firstLineChars="200"/>
        <w:textAlignment w:val="auto"/>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1.说明项目主管部门在该项目管理中的职能。</w:t>
      </w:r>
    </w:p>
    <w:p w14:paraId="2A799F59">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（1）贯彻落实国家水路运输管理的方针、政策、法律法规。</w:t>
      </w:r>
    </w:p>
    <w:p w14:paraId="61EBF671">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（2）加强宏观调控，统筹、协调，服务、监督、促进航运发展。</w:t>
      </w:r>
    </w:p>
    <w:p w14:paraId="72791BA6">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（3）负责辖区水路客货运输、市场秩序的管理和整顿，审批船舶建造，运力增减的申报，核发办理企业、个体船舶水路营运开业申请，运输许可证、营业证。</w:t>
      </w:r>
    </w:p>
    <w:p w14:paraId="093EEDBB">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（4）负责辖区航道养护，发布航道通告。</w:t>
      </w:r>
    </w:p>
    <w:p w14:paraId="0C7904B9">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（5）监督沉船沉物及碍航物的打捞清除工作、对航道实施维护管理、整治、疏浚及设标，保障水上交通运输和安全的正常秩序。</w:t>
      </w:r>
    </w:p>
    <w:p w14:paraId="70E4EAA4">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lang w:val="en-US" w:eastAsia="zh-CN"/>
        </w:rPr>
      </w:pPr>
      <w:r>
        <w:rPr>
          <w:rFonts w:hint="eastAsia" w:ascii="宋体" w:hAnsi="宋体" w:eastAsia="仿宋_GB2312"/>
          <w:sz w:val="32"/>
          <w:szCs w:val="32"/>
          <w:lang w:val="en-US" w:eastAsia="zh-CN"/>
        </w:rPr>
        <w:t>（6）负责水上交通安全监督和管理。</w:t>
      </w:r>
    </w:p>
    <w:p w14:paraId="01FF4EB4">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宋体" w:hAnsi="宋体" w:eastAsia="仿宋_GB2312"/>
          <w:sz w:val="32"/>
          <w:szCs w:val="32"/>
        </w:rPr>
      </w:pPr>
      <w:r>
        <w:rPr>
          <w:rFonts w:hint="eastAsia" w:ascii="宋体" w:hAnsi="宋体" w:eastAsia="仿宋_GB2312"/>
          <w:sz w:val="32"/>
          <w:szCs w:val="32"/>
        </w:rPr>
        <w:t>该经费有效保障了水上交通出行安全及防汛抢险应急救援工作顺利开展。</w:t>
      </w:r>
    </w:p>
    <w:p w14:paraId="620A8022">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2.项目立项、资金申报的依据。</w:t>
      </w:r>
    </w:p>
    <w:p w14:paraId="79070093">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根据射洪市地方海事处的职责职能，用于我单位购买航道标志产品支出，有效保障了水上交通出行安全及防汛抢险应急救援工作顺利开展。</w:t>
      </w:r>
    </w:p>
    <w:p w14:paraId="3F8F4790">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3.资金管理办法制定情况，资金支持具体项目的条件、范围与支持方式概况。</w:t>
      </w:r>
    </w:p>
    <w:p w14:paraId="18A5C657">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该项目主要</w:t>
      </w:r>
      <w:r>
        <w:rPr>
          <w:rFonts w:hint="eastAsia" w:ascii="仿宋_GB2312" w:hAnsi="仿宋_GB2312" w:eastAsia="仿宋_GB2312" w:cs="仿宋_GB2312"/>
          <w:sz w:val="32"/>
          <w:szCs w:val="32"/>
          <w:lang w:val="en-US" w:eastAsia="zh-CN" w:bidi="ar-SA"/>
        </w:rPr>
        <w:t>用于我单位购买航道标志产品支出</w:t>
      </w: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w:t>
      </w:r>
    </w:p>
    <w:p w14:paraId="20FC9C11">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pPr>
      <w:r>
        <w:rPr>
          <w:rFonts w:hint="eastAsia" w:ascii="楷体" w:hAnsi="楷体" w:eastAsia="楷体" w:cs="楷体"/>
          <w:b w:val="0"/>
          <w:bCs w:val="0"/>
          <w:i w:val="0"/>
          <w:iCs w:val="0"/>
          <w:caps w:val="0"/>
          <w:smallCaps w:val="0"/>
          <w:strike w:val="0"/>
          <w:color w:val="000000"/>
          <w:spacing w:val="0"/>
          <w:sz w:val="32"/>
          <w:szCs w:val="32"/>
          <w:shd w:val="clear" w:color="auto" w:fill="FFFFFF"/>
          <w:lang w:val="en-US" w:eastAsia="zh-CN"/>
        </w:rPr>
        <w:t>4.资金分配原则及考虑因素。</w:t>
      </w:r>
    </w:p>
    <w:p w14:paraId="42D88074">
      <w:pPr>
        <w:keepNext w:val="0"/>
        <w:keepLines w:val="0"/>
        <w:pageBreakBefore w:val="0"/>
        <w:widowControl/>
        <w:numPr>
          <w:ilvl w:val="0"/>
          <w:numId w:val="0"/>
        </w:numPr>
        <w:kinsoku/>
        <w:wordWrap/>
        <w:overflowPunct/>
        <w:topLinePunct w:val="0"/>
        <w:autoSpaceDE/>
        <w:autoSpaceDN/>
        <w:bidi w:val="0"/>
        <w:adjustRightInd w:val="0"/>
        <w:snapToGrid w:val="0"/>
        <w:spacing w:after="0" w:line="560" w:lineRule="exact"/>
        <w:ind w:firstLine="640" w:firstLineChars="200"/>
        <w:textAlignment w:val="auto"/>
        <w:rPr>
          <w:rFonts w:hint="default"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水上交通出行安全及防汛抢险应急救援工作的需要以及省、市海事处的指示要求。</w:t>
      </w:r>
    </w:p>
    <w:p w14:paraId="14E07C90">
      <w:pPr>
        <w:keepNext w:val="0"/>
        <w:keepLines w:val="0"/>
        <w:pageBreakBefore w:val="0"/>
        <w:widowControl/>
        <w:kinsoku/>
        <w:wordWrap/>
        <w:overflowPunct/>
        <w:topLinePunct w:val="0"/>
        <w:autoSpaceDE/>
        <w:autoSpaceDN/>
        <w:bidi w:val="0"/>
        <w:adjustRightInd w:val="0"/>
        <w:snapToGrid w:val="0"/>
        <w:spacing w:after="0" w:line="560" w:lineRule="exact"/>
        <w:ind w:firstLine="640" w:firstLineChars="200"/>
        <w:textAlignment w:val="auto"/>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（二）项目绩效目标</w:t>
      </w:r>
    </w:p>
    <w:p w14:paraId="62B17497">
      <w:pPr>
        <w:pStyle w:val="41"/>
        <w:keepNext w:val="0"/>
        <w:keepLines w:val="0"/>
        <w:pageBreakBefore w:val="0"/>
        <w:kinsoku/>
        <w:wordWrap/>
        <w:overflowPunct/>
        <w:topLinePunct w:val="0"/>
        <w:autoSpaceDE/>
        <w:autoSpaceDN/>
        <w:bidi w:val="0"/>
        <w:spacing w:after="0"/>
        <w:ind w:firstLine="640" w:firstLineChars="200"/>
        <w:textAlignment w:val="auto"/>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1.项目主要内容。</w:t>
      </w:r>
    </w:p>
    <w:p w14:paraId="0FC2EC33">
      <w:pPr>
        <w:pStyle w:val="41"/>
        <w:keepNext w:val="0"/>
        <w:keepLines w:val="0"/>
        <w:pageBreakBefore w:val="0"/>
        <w:kinsoku/>
        <w:wordWrap/>
        <w:overflowPunct/>
        <w:topLinePunct w:val="0"/>
        <w:autoSpaceDE/>
        <w:autoSpaceDN/>
        <w:bidi w:val="0"/>
        <w:spacing w:after="0"/>
        <w:ind w:firstLine="640" w:firstLineChars="200"/>
        <w:textAlignment w:val="auto"/>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仿宋" w:hAnsi="仿宋" w:eastAsia="仿宋" w:cs="仿宋"/>
          <w:b w:val="0"/>
          <w:bCs w:val="0"/>
          <w:i w:val="0"/>
          <w:iCs w:val="0"/>
          <w:caps w:val="0"/>
          <w:smallCaps w:val="0"/>
          <w:strike w:val="0"/>
          <w:color w:val="000000"/>
          <w:spacing w:val="0"/>
          <w:kern w:val="2"/>
          <w:sz w:val="32"/>
          <w:szCs w:val="32"/>
          <w:u w:val="none"/>
          <w:shd w:val="clear" w:color="auto" w:fill="FFFFFF"/>
          <w:lang w:val="en-US" w:eastAsia="zh-CN" w:bidi="ar-SA"/>
        </w:rPr>
        <w:t>涪江、梓江设置禁航标志费用。</w:t>
      </w:r>
    </w:p>
    <w:p w14:paraId="494C6B6C">
      <w:pPr>
        <w:keepNext w:val="0"/>
        <w:keepLines w:val="0"/>
        <w:pageBreakBefore w:val="0"/>
        <w:numPr>
          <w:ilvl w:val="0"/>
          <w:numId w:val="0"/>
        </w:numPr>
        <w:kinsoku/>
        <w:wordWrap/>
        <w:overflowPunct/>
        <w:topLinePunct w:val="0"/>
        <w:autoSpaceDE/>
        <w:autoSpaceDN/>
        <w:bidi w:val="0"/>
        <w:spacing w:after="0"/>
        <w:ind w:firstLine="640" w:firstLineChars="200"/>
        <w:textAlignment w:val="auto"/>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2</w:t>
      </w:r>
      <w:r>
        <w:rPr>
          <w:rFonts w:hint="eastAsia" w:ascii="楷体" w:hAnsi="楷体" w:eastAsia="楷体" w:cs="楷体"/>
          <w:b w:val="0"/>
          <w:bCs w:val="0"/>
          <w:i w:val="0"/>
          <w:iCs w:val="0"/>
          <w:caps w:val="0"/>
          <w:smallCaps w:val="0"/>
          <w:strike w:val="0"/>
          <w:color w:val="000000"/>
          <w:spacing w:val="0"/>
          <w:kern w:val="2"/>
          <w:sz w:val="32"/>
          <w:szCs w:val="32"/>
          <w:highlight w:val="none"/>
          <w:u w:val="none"/>
          <w:shd w:val="clear" w:color="auto" w:fill="FFFFFF"/>
          <w:lang w:val="en-US" w:eastAsia="zh-CN" w:bidi="ar-SA"/>
        </w:rPr>
        <w:t>.项目应实现的具体绩效目标，包括目标的量化、细化情况以及项目实施进度计划等。</w:t>
      </w:r>
    </w:p>
    <w:p w14:paraId="6A015738">
      <w:pPr>
        <w:keepNext w:val="0"/>
        <w:keepLines w:val="0"/>
        <w:pageBreakBefore w:val="0"/>
        <w:kinsoku/>
        <w:wordWrap/>
        <w:overflowPunct/>
        <w:topLinePunct w:val="0"/>
        <w:autoSpaceDE/>
        <w:autoSpaceDN/>
        <w:bidi w:val="0"/>
        <w:spacing w:before="156" w:beforeLines="50" w:after="0" w:line="600" w:lineRule="exact"/>
        <w:ind w:firstLine="640" w:firstLineChars="200"/>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整体目标为：2023年度财政投入5万元资金，用于我单位购买航道标志产品，有效保障了水上交通出行安全及防汛抢险应急救援工作顺利开展。</w:t>
      </w:r>
    </w:p>
    <w:p w14:paraId="476B4E44">
      <w:pPr>
        <w:keepNext w:val="0"/>
        <w:keepLines w:val="0"/>
        <w:pageBreakBefore w:val="0"/>
        <w:kinsoku/>
        <w:wordWrap/>
        <w:overflowPunct/>
        <w:topLinePunct w:val="0"/>
        <w:autoSpaceDE/>
        <w:autoSpaceDN/>
        <w:bidi w:val="0"/>
        <w:spacing w:before="156" w:beforeLines="50" w:after="0" w:line="600" w:lineRule="exact"/>
        <w:ind w:firstLine="640" w:firstLineChars="200"/>
        <w:textAlignment w:val="auto"/>
        <w:rPr>
          <w:rFonts w:hint="default"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具体目标为：</w:t>
      </w:r>
      <w:r>
        <w:rPr>
          <w:rFonts w:hint="eastAsia" w:ascii="仿宋_GB2312" w:hAnsi="仿宋_GB2312" w:eastAsia="仿宋_GB2312" w:cs="仿宋_GB2312"/>
          <w:color w:val="auto"/>
          <w:sz w:val="32"/>
          <w:szCs w:val="32"/>
          <w:highlight w:val="none"/>
          <w:lang w:val="en-US" w:eastAsia="zh-CN" w:bidi="ar-SA"/>
        </w:rPr>
        <w:t>购买航道标志数量点位≥25次，购买航道标志成本每处≤2000元</w:t>
      </w:r>
      <w:r>
        <w:rPr>
          <w:rFonts w:hint="eastAsia" w:ascii="仿宋_GB2312" w:hAnsi="仿宋_GB2312" w:eastAsia="仿宋_GB2312" w:cs="仿宋_GB2312"/>
          <w:sz w:val="32"/>
          <w:szCs w:val="32"/>
          <w:lang w:val="en-US" w:eastAsia="zh-CN" w:bidi="ar-SA"/>
        </w:rPr>
        <w:t>。</w:t>
      </w:r>
    </w:p>
    <w:p w14:paraId="66A5E62E">
      <w:pPr>
        <w:keepNext w:val="0"/>
        <w:keepLines w:val="0"/>
        <w:pageBreakBefore w:val="0"/>
        <w:kinsoku/>
        <w:wordWrap/>
        <w:overflowPunct/>
        <w:topLinePunct w:val="0"/>
        <w:autoSpaceDE/>
        <w:autoSpaceDN/>
        <w:bidi w:val="0"/>
        <w:spacing w:before="156" w:beforeLines="50" w:after="0" w:line="600" w:lineRule="exact"/>
        <w:ind w:firstLine="640" w:firstLineChars="200"/>
        <w:textAlignment w:val="auto"/>
        <w:rPr>
          <w:rFonts w:hint="eastAsia" w:ascii="仿宋_GB2312" w:hAnsi="仿宋_GB2312" w:eastAsia="仿宋_GB2312" w:cs="仿宋_GB2312"/>
          <w:sz w:val="32"/>
          <w:szCs w:val="32"/>
          <w:lang w:val="en-US" w:eastAsia="zh-CN" w:bidi="ar-SA"/>
        </w:rPr>
      </w:pPr>
      <w:r>
        <w:rPr>
          <w:rFonts w:hint="eastAsia" w:ascii="仿宋_GB2312" w:hAnsi="仿宋_GB2312" w:eastAsia="仿宋_GB2312" w:cs="仿宋_GB2312"/>
          <w:sz w:val="32"/>
          <w:szCs w:val="32"/>
          <w:lang w:val="en-US" w:eastAsia="zh-CN" w:bidi="ar-SA"/>
        </w:rPr>
        <w:t>本项目年初预算5万元，截至2023年12月底该项目实际使用资金3.27万元，完成计划的65.44%。</w:t>
      </w:r>
    </w:p>
    <w:p w14:paraId="342800D5">
      <w:pPr>
        <w:pStyle w:val="41"/>
        <w:keepNext w:val="0"/>
        <w:keepLines w:val="0"/>
        <w:pageBreakBefore w:val="0"/>
        <w:numPr>
          <w:ilvl w:val="0"/>
          <w:numId w:val="5"/>
        </w:numPr>
        <w:kinsoku/>
        <w:wordWrap/>
        <w:overflowPunct/>
        <w:topLinePunct w:val="0"/>
        <w:autoSpaceDE/>
        <w:autoSpaceDN/>
        <w:bidi w:val="0"/>
        <w:spacing w:after="0"/>
        <w:ind w:firstLine="640"/>
        <w:textAlignment w:val="auto"/>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pPr>
      <w:r>
        <w:rPr>
          <w:rFonts w:hint="eastAsia" w:ascii="楷体" w:hAnsi="楷体" w:eastAsia="楷体" w:cs="楷体"/>
          <w:b w:val="0"/>
          <w:bCs w:val="0"/>
          <w:i w:val="0"/>
          <w:iCs w:val="0"/>
          <w:caps w:val="0"/>
          <w:smallCaps w:val="0"/>
          <w:strike w:val="0"/>
          <w:color w:val="000000"/>
          <w:spacing w:val="0"/>
          <w:kern w:val="2"/>
          <w:sz w:val="32"/>
          <w:szCs w:val="32"/>
          <w:u w:val="none"/>
          <w:shd w:val="clear" w:color="auto" w:fill="FFFFFF"/>
          <w:lang w:val="en-US" w:eastAsia="zh-CN" w:bidi="ar-SA"/>
        </w:rPr>
        <w:t>分析评价申报内容是否与实际相符，申报目标是否合理可行。</w:t>
      </w:r>
    </w:p>
    <w:p w14:paraId="07106F2B">
      <w:pPr>
        <w:keepNext w:val="0"/>
        <w:keepLines w:val="0"/>
        <w:pageBreakBefore w:val="0"/>
        <w:numPr>
          <w:ilvl w:val="0"/>
          <w:numId w:val="0"/>
        </w:numPr>
        <w:kinsoku/>
        <w:wordWrap/>
        <w:overflowPunct/>
        <w:topLinePunct w:val="0"/>
        <w:autoSpaceDE/>
        <w:autoSpaceDN/>
        <w:bidi w:val="0"/>
        <w:spacing w:after="0"/>
        <w:ind w:firstLine="640" w:firstLineChars="200"/>
        <w:textAlignment w:val="auto"/>
        <w:rPr>
          <w:rFonts w:hint="default" w:eastAsia="仿宋_GB2312"/>
          <w:sz w:val="32"/>
          <w:szCs w:val="30"/>
          <w:lang w:val="en-US" w:eastAsia="zh-CN"/>
        </w:rPr>
      </w:pPr>
      <w:r>
        <w:rPr>
          <w:rFonts w:hint="eastAsia" w:eastAsia="仿宋_GB2312"/>
          <w:sz w:val="32"/>
          <w:szCs w:val="30"/>
          <w:lang w:val="en-US" w:eastAsia="zh-CN"/>
        </w:rPr>
        <w:t>项目通过年初预算申报内容与实际相符，申报目标合理。</w:t>
      </w:r>
    </w:p>
    <w:p w14:paraId="3791D281">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三</w:t>
      </w:r>
      <w:r>
        <w:rPr>
          <w:rFonts w:ascii="Times New Roman" w:hAnsi="Times New Roman" w:eastAsia="方正楷体简体"/>
          <w:sz w:val="30"/>
          <w:szCs w:val="30"/>
        </w:rPr>
        <w:t>)</w:t>
      </w:r>
      <w:r>
        <w:rPr>
          <w:rFonts w:hint="eastAsia" w:ascii="Times New Roman" w:hAnsi="Times New Roman" w:eastAsia="方正楷体简体"/>
          <w:sz w:val="30"/>
          <w:szCs w:val="30"/>
        </w:rPr>
        <w:t>项目自评步骤及方法</w:t>
      </w:r>
    </w:p>
    <w:p w14:paraId="0DB28EDD">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sz w:val="30"/>
          <w:szCs w:val="30"/>
        </w:rPr>
      </w:pPr>
      <w:r>
        <w:rPr>
          <w:rFonts w:hint="eastAsia" w:eastAsia="仿宋_GB2312" w:cs="Times New Roman"/>
          <w:sz w:val="32"/>
          <w:szCs w:val="30"/>
          <w:lang w:val="zh-CN" w:eastAsia="zh-CN"/>
        </w:rPr>
        <w:t>从项目产出指标、效益指标及满意度指标进行分析评价</w:t>
      </w:r>
      <w:r>
        <w:rPr>
          <w:rFonts w:hint="eastAsia" w:ascii="方正仿宋_GB2312" w:hAnsi="方正仿宋_GB2312" w:eastAsia="方正仿宋_GB2312" w:cs="方正仿宋_GB2312"/>
          <w:sz w:val="32"/>
          <w:szCs w:val="32"/>
          <w:lang w:val="zh-CN"/>
        </w:rPr>
        <w:t>。</w:t>
      </w:r>
    </w:p>
    <w:p w14:paraId="3F9F0058">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outlineLvl w:val="1"/>
        <w:rPr>
          <w:rFonts w:ascii="Times New Roman" w:hAnsi="Times New Roman" w:eastAsia="方正黑体简体"/>
          <w:sz w:val="30"/>
          <w:szCs w:val="30"/>
        </w:rPr>
      </w:pPr>
      <w:bookmarkStart w:id="148" w:name="_Toc30889"/>
      <w:bookmarkStart w:id="149" w:name="_Toc18804"/>
      <w:r>
        <w:rPr>
          <w:rFonts w:hint="eastAsia" w:ascii="Times New Roman" w:hAnsi="Times New Roman" w:eastAsia="方正黑体简体"/>
          <w:sz w:val="30"/>
          <w:szCs w:val="30"/>
        </w:rPr>
        <w:t>二、项目资金申报及使用情况</w:t>
      </w:r>
      <w:bookmarkEnd w:id="148"/>
      <w:bookmarkEnd w:id="149"/>
    </w:p>
    <w:p w14:paraId="70A43AE7">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一</w:t>
      </w:r>
      <w:r>
        <w:rPr>
          <w:rFonts w:ascii="Times New Roman" w:hAnsi="Times New Roman" w:eastAsia="方正楷体简体"/>
          <w:sz w:val="30"/>
          <w:szCs w:val="30"/>
        </w:rPr>
        <w:t>)</w:t>
      </w:r>
      <w:r>
        <w:rPr>
          <w:rFonts w:hint="eastAsia" w:ascii="Times New Roman" w:hAnsi="Times New Roman" w:eastAsia="方正楷体简体"/>
          <w:sz w:val="30"/>
          <w:szCs w:val="30"/>
        </w:rPr>
        <w:t>项目资金申报及批复情况</w:t>
      </w:r>
    </w:p>
    <w:p w14:paraId="64009A5B">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2"/>
          <w:szCs w:val="32"/>
          <w:lang w:val="zh-CN"/>
        </w:rPr>
        <w:t>由本单位向本级财政部门申报，财政批复</w:t>
      </w:r>
      <w:r>
        <w:rPr>
          <w:rFonts w:hint="eastAsia" w:ascii="方正仿宋_GB2312" w:hAnsi="方正仿宋_GB2312" w:eastAsia="方正仿宋_GB2312" w:cs="方正仿宋_GB2312"/>
          <w:sz w:val="32"/>
          <w:szCs w:val="32"/>
          <w:lang w:val="en-US" w:eastAsia="zh-CN"/>
        </w:rPr>
        <w:t>5万元用于</w:t>
      </w:r>
      <w:r>
        <w:rPr>
          <w:rFonts w:hint="eastAsia" w:ascii="方正仿宋_GB2312" w:hAnsi="方正仿宋_GB2312" w:eastAsia="方正仿宋_GB2312" w:cs="方正仿宋_GB2312"/>
          <w:color w:val="000000"/>
          <w:sz w:val="32"/>
          <w:szCs w:val="32"/>
          <w:lang w:val="en-US" w:eastAsia="zh-CN"/>
        </w:rPr>
        <w:t>涪江、梓江设置禁航标志费用</w:t>
      </w:r>
      <w:r>
        <w:rPr>
          <w:rFonts w:hint="eastAsia" w:ascii="方正仿宋_GB2312" w:hAnsi="方正仿宋_GB2312" w:eastAsia="方正仿宋_GB2312" w:cs="方正仿宋_GB2312"/>
          <w:sz w:val="32"/>
          <w:szCs w:val="32"/>
          <w:lang w:eastAsia="zh-CN"/>
        </w:rPr>
        <w:t>支出</w:t>
      </w:r>
      <w:r>
        <w:rPr>
          <w:rFonts w:hint="eastAsia" w:ascii="方正仿宋_GB2312" w:hAnsi="方正仿宋_GB2312" w:eastAsia="方正仿宋_GB2312" w:cs="方正仿宋_GB2312"/>
          <w:sz w:val="32"/>
          <w:szCs w:val="32"/>
          <w:lang w:val="en-US" w:eastAsia="zh-CN"/>
        </w:rPr>
        <w:t>。</w:t>
      </w:r>
    </w:p>
    <w:p w14:paraId="7E85010A">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二</w:t>
      </w:r>
      <w:r>
        <w:rPr>
          <w:rFonts w:ascii="Times New Roman" w:hAnsi="Times New Roman" w:eastAsia="方正楷体简体"/>
          <w:sz w:val="30"/>
          <w:szCs w:val="30"/>
        </w:rPr>
        <w:t>)</w:t>
      </w:r>
      <w:r>
        <w:rPr>
          <w:rFonts w:hint="eastAsia" w:ascii="Times New Roman" w:hAnsi="Times New Roman" w:eastAsia="方正楷体简体"/>
          <w:sz w:val="30"/>
          <w:szCs w:val="30"/>
        </w:rPr>
        <w:t>资金计划、到位及使用情况</w:t>
      </w:r>
    </w:p>
    <w:p w14:paraId="1799AAAC">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Times New Roman" w:hAnsi="Times New Roman" w:eastAsia="Arial Unicode MS"/>
          <w:b/>
          <w:sz w:val="30"/>
          <w:szCs w:val="30"/>
        </w:rPr>
      </w:pPr>
      <w:r>
        <w:rPr>
          <w:rFonts w:ascii="Times New Roman" w:hAnsi="Times New Roman" w:eastAsia="Arial Unicode MS"/>
          <w:b/>
          <w:sz w:val="30"/>
          <w:szCs w:val="30"/>
        </w:rPr>
        <w:t>1.</w:t>
      </w:r>
      <w:r>
        <w:rPr>
          <w:rFonts w:hint="eastAsia" w:ascii="Times New Roman" w:hAnsi="Times New Roman" w:eastAsia="Arial Unicode MS"/>
          <w:b/>
          <w:sz w:val="30"/>
          <w:szCs w:val="30"/>
        </w:rPr>
        <w:t>资金计划。</w:t>
      </w:r>
    </w:p>
    <w:p w14:paraId="4DDC0C5D">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bCs/>
          <w:color w:val="000000"/>
          <w:sz w:val="30"/>
          <w:szCs w:val="30"/>
          <w:highlight w:val="none"/>
          <w:lang w:val="en-US" w:eastAsia="zh-CN"/>
        </w:rPr>
      </w:pPr>
      <w:r>
        <w:rPr>
          <w:rFonts w:hint="eastAsia" w:ascii="方正仿宋_GB2312" w:hAnsi="方正仿宋_GB2312" w:eastAsia="方正仿宋_GB2312" w:cs="方正仿宋_GB2312"/>
          <w:sz w:val="32"/>
          <w:szCs w:val="32"/>
          <w:lang w:val="en-US" w:eastAsia="zh-CN"/>
        </w:rPr>
        <w:t>我处涪江、梓江设置禁航标志总计划5万元，其中财政资金5万元</w:t>
      </w:r>
      <w:r>
        <w:rPr>
          <w:rFonts w:hint="eastAsia" w:ascii="方正仿宋_GB2312" w:hAnsi="方正仿宋_GB2312" w:eastAsia="方正仿宋_GB2312" w:cs="方正仿宋_GB2312"/>
          <w:bCs/>
          <w:color w:val="000000"/>
          <w:sz w:val="30"/>
          <w:szCs w:val="30"/>
          <w:highlight w:val="none"/>
          <w:lang w:val="en-US" w:eastAsia="zh-CN"/>
        </w:rPr>
        <w:t>。</w:t>
      </w:r>
    </w:p>
    <w:p w14:paraId="34C0A427">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sz w:val="32"/>
          <w:szCs w:val="32"/>
          <w:lang w:val="en-US" w:eastAsia="zh-CN"/>
        </w:rPr>
      </w:pPr>
      <w:r>
        <w:rPr>
          <w:rFonts w:hint="eastAsia" w:ascii="仿宋_GB2312" w:hAnsi="仿宋" w:eastAsia="仿宋_GB2312" w:cs="仿宋"/>
          <w:bCs/>
          <w:color w:val="000000"/>
          <w:sz w:val="30"/>
          <w:szCs w:val="30"/>
          <w:highlight w:val="none"/>
          <w:lang w:val="en-US" w:eastAsia="zh-CN"/>
        </w:rPr>
        <w:t>2.</w:t>
      </w:r>
      <w:r>
        <w:rPr>
          <w:rFonts w:hint="eastAsia" w:ascii="Times New Roman" w:hAnsi="Times New Roman" w:eastAsia="Arial Unicode MS"/>
          <w:b/>
          <w:sz w:val="30"/>
          <w:szCs w:val="30"/>
        </w:rPr>
        <w:t>资金到位。</w:t>
      </w:r>
    </w:p>
    <w:p w14:paraId="7608D6A9">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default"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zh-CN" w:eastAsia="zh-CN"/>
        </w:rPr>
        <w:t>按项目计划，202</w:t>
      </w:r>
      <w:r>
        <w:rPr>
          <w:rFonts w:hint="eastAsia" w:ascii="方正仿宋_GB2312" w:hAnsi="方正仿宋_GB2312" w:eastAsia="方正仿宋_GB2312" w:cs="方正仿宋_GB2312"/>
          <w:sz w:val="32"/>
          <w:szCs w:val="32"/>
          <w:lang w:val="en-US" w:eastAsia="zh-CN"/>
        </w:rPr>
        <w:t>3</w:t>
      </w:r>
      <w:r>
        <w:rPr>
          <w:rFonts w:hint="eastAsia" w:ascii="方正仿宋_GB2312" w:hAnsi="方正仿宋_GB2312" w:eastAsia="方正仿宋_GB2312" w:cs="方正仿宋_GB2312"/>
          <w:sz w:val="32"/>
          <w:szCs w:val="32"/>
          <w:lang w:val="zh-CN" w:eastAsia="zh-CN"/>
        </w:rPr>
        <w:t>年实际资金到位</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lang w:val="zh-CN" w:eastAsia="zh-CN"/>
        </w:rPr>
        <w:t>万元，其中射洪市财政资金</w:t>
      </w:r>
      <w:r>
        <w:rPr>
          <w:rFonts w:hint="eastAsia" w:ascii="方正仿宋_GB2312" w:hAnsi="方正仿宋_GB2312" w:eastAsia="方正仿宋_GB2312" w:cs="方正仿宋_GB2312"/>
          <w:sz w:val="32"/>
          <w:szCs w:val="32"/>
          <w:lang w:val="en-US" w:eastAsia="zh-CN"/>
        </w:rPr>
        <w:t>5</w:t>
      </w:r>
      <w:r>
        <w:rPr>
          <w:rFonts w:hint="eastAsia" w:ascii="方正仿宋_GB2312" w:hAnsi="方正仿宋_GB2312" w:eastAsia="方正仿宋_GB2312" w:cs="方正仿宋_GB2312"/>
          <w:sz w:val="32"/>
          <w:szCs w:val="32"/>
          <w:lang w:val="zh-CN" w:eastAsia="zh-CN"/>
        </w:rPr>
        <w:t>万元。</w:t>
      </w:r>
    </w:p>
    <w:p w14:paraId="4BF9B65C">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Times New Roman" w:hAnsi="Times New Roman" w:eastAsia="Arial Unicode MS"/>
          <w:b/>
          <w:sz w:val="30"/>
          <w:szCs w:val="30"/>
        </w:rPr>
      </w:pPr>
      <w:r>
        <w:rPr>
          <w:rFonts w:hint="eastAsia" w:ascii="Times New Roman" w:hAnsi="Times New Roman" w:eastAsia="Arial Unicode MS" w:cs="Times New Roman"/>
          <w:b/>
          <w:kern w:val="0"/>
          <w:sz w:val="30"/>
          <w:szCs w:val="30"/>
          <w:lang w:val="en-US" w:eastAsia="zh-CN" w:bidi="ar-SA"/>
        </w:rPr>
        <w:t>3.</w:t>
      </w:r>
      <w:r>
        <w:rPr>
          <w:rFonts w:hint="eastAsia" w:ascii="Times New Roman" w:hAnsi="Times New Roman" w:eastAsia="Arial Unicode MS"/>
          <w:b/>
          <w:sz w:val="30"/>
          <w:szCs w:val="30"/>
        </w:rPr>
        <w:t>资金使用。</w:t>
      </w:r>
    </w:p>
    <w:p w14:paraId="69CE9364">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b/>
          <w:sz w:val="30"/>
          <w:szCs w:val="30"/>
          <w:lang w:val="en-US" w:eastAsia="zh-CN"/>
        </w:rPr>
      </w:pPr>
      <w:r>
        <w:rPr>
          <w:rFonts w:hint="eastAsia" w:ascii="方正仿宋_GB2312" w:hAnsi="方正仿宋_GB2312" w:eastAsia="方正仿宋_GB2312" w:cs="方正仿宋_GB2312"/>
          <w:sz w:val="32"/>
          <w:szCs w:val="32"/>
          <w:lang w:val="zh-CN"/>
        </w:rPr>
        <w:t>该项目资金用于</w:t>
      </w:r>
      <w:r>
        <w:rPr>
          <w:rFonts w:hint="eastAsia" w:ascii="方正仿宋_GB2312" w:hAnsi="方正仿宋_GB2312" w:eastAsia="方正仿宋_GB2312" w:cs="方正仿宋_GB2312"/>
          <w:color w:val="000000"/>
          <w:sz w:val="32"/>
          <w:szCs w:val="32"/>
          <w:lang w:val="en-US" w:eastAsia="zh-CN"/>
        </w:rPr>
        <w:t>涪江、梓江设置禁航标志费用支</w:t>
      </w:r>
      <w:r>
        <w:rPr>
          <w:rFonts w:hint="eastAsia" w:ascii="方正仿宋_GB2312" w:hAnsi="方正仿宋_GB2312" w:eastAsia="方正仿宋_GB2312" w:cs="方正仿宋_GB2312"/>
          <w:sz w:val="32"/>
          <w:szCs w:val="32"/>
          <w:lang w:eastAsia="zh-CN"/>
        </w:rPr>
        <w:t>出</w:t>
      </w:r>
      <w:r>
        <w:rPr>
          <w:rFonts w:hint="eastAsia" w:ascii="方正仿宋_GB2312" w:hAnsi="方正仿宋_GB2312" w:eastAsia="方正仿宋_GB2312" w:cs="方正仿宋_GB2312"/>
          <w:sz w:val="32"/>
          <w:szCs w:val="32"/>
          <w:lang w:val="zh-CN"/>
        </w:rPr>
        <w:t>，财政预算</w:t>
      </w:r>
      <w:r>
        <w:rPr>
          <w:rFonts w:hint="eastAsia" w:ascii="方正仿宋_GB2312" w:hAnsi="方正仿宋_GB2312" w:eastAsia="方正仿宋_GB2312" w:cs="方正仿宋_GB2312"/>
          <w:sz w:val="32"/>
          <w:szCs w:val="32"/>
          <w:lang w:val="en-US" w:eastAsia="zh-CN"/>
        </w:rPr>
        <w:t>5万元，实际支出3.27万元，资金使用合规合法。</w:t>
      </w:r>
    </w:p>
    <w:p w14:paraId="24BEF4D7">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三</w:t>
      </w:r>
      <w:r>
        <w:rPr>
          <w:rFonts w:ascii="Times New Roman" w:hAnsi="Times New Roman" w:eastAsia="方正楷体简体"/>
          <w:sz w:val="30"/>
          <w:szCs w:val="30"/>
        </w:rPr>
        <w:t>)</w:t>
      </w:r>
      <w:r>
        <w:rPr>
          <w:rFonts w:hint="eastAsia" w:ascii="Times New Roman" w:hAnsi="Times New Roman" w:eastAsia="方正楷体简体"/>
          <w:sz w:val="30"/>
          <w:szCs w:val="30"/>
        </w:rPr>
        <w:t>项目财务管理情况</w:t>
      </w:r>
    </w:p>
    <w:p w14:paraId="45AE367B">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2"/>
          <w:szCs w:val="32"/>
          <w:lang w:val="zh-CN"/>
        </w:rPr>
        <w:t>总体评价该项目实施单位财务管理制度健全，严格执行财务管理制度，账务处理及时，会计核算规范。</w:t>
      </w:r>
    </w:p>
    <w:p w14:paraId="5EB20AB9">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outlineLvl w:val="1"/>
        <w:rPr>
          <w:rFonts w:ascii="Times New Roman" w:hAnsi="Times New Roman" w:eastAsia="方正黑体简体"/>
          <w:sz w:val="30"/>
          <w:szCs w:val="30"/>
        </w:rPr>
      </w:pPr>
      <w:bookmarkStart w:id="150" w:name="_Toc29395"/>
      <w:bookmarkStart w:id="151" w:name="_Toc1035"/>
      <w:r>
        <w:rPr>
          <w:rFonts w:hint="eastAsia" w:ascii="Times New Roman" w:hAnsi="Times New Roman" w:eastAsia="方正黑体简体"/>
          <w:sz w:val="30"/>
          <w:szCs w:val="30"/>
        </w:rPr>
        <w:t>三、项目实施及管理情况</w:t>
      </w:r>
      <w:bookmarkEnd w:id="150"/>
      <w:bookmarkEnd w:id="151"/>
    </w:p>
    <w:p w14:paraId="261DC7D3">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（一）项目组织架构及实施流程。</w:t>
      </w:r>
    </w:p>
    <w:p w14:paraId="01419F11">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lang w:val="zh-CN"/>
        </w:rPr>
      </w:pPr>
      <w:r>
        <w:rPr>
          <w:rFonts w:hint="eastAsia" w:ascii="方正仿宋_GB2312" w:hAnsi="方正仿宋_GB2312" w:eastAsia="方正仿宋_GB2312" w:cs="方正仿宋_GB2312"/>
          <w:b w:val="0"/>
          <w:bCs/>
          <w:sz w:val="32"/>
          <w:szCs w:val="32"/>
          <w:lang w:val="zh-CN"/>
        </w:rPr>
        <w:t>市地方海事处统筹，基层站点具体实施。</w:t>
      </w:r>
    </w:p>
    <w:p w14:paraId="06713EF6">
      <w:pPr>
        <w:keepNext w:val="0"/>
        <w:keepLines w:val="0"/>
        <w:pageBreakBefore w:val="0"/>
        <w:numPr>
          <w:ilvl w:val="0"/>
          <w:numId w:val="0"/>
        </w:numPr>
        <w:kinsoku/>
        <w:wordWrap/>
        <w:overflowPunct/>
        <w:topLinePunct w:val="0"/>
        <w:autoSpaceDE/>
        <w:autoSpaceDN/>
        <w:bidi w:val="0"/>
        <w:spacing w:after="0" w:line="580" w:lineRule="exact"/>
        <w:ind w:firstLine="643" w:firstLineChars="20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（二）项目管理情况。</w:t>
      </w:r>
    </w:p>
    <w:p w14:paraId="5930E9AC">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仿宋_GB2312" w:hAnsi="宋体" w:eastAsia="仿宋_GB2312"/>
          <w:sz w:val="32"/>
          <w:szCs w:val="32"/>
          <w:lang w:val="en-US" w:eastAsia="zh-CN"/>
        </w:rPr>
      </w:pPr>
      <w:r>
        <w:rPr>
          <w:rFonts w:hint="eastAsia" w:ascii="方正仿宋_GB2312" w:hAnsi="方正仿宋_GB2312" w:eastAsia="方正仿宋_GB2312" w:cs="方正仿宋_GB2312"/>
          <w:sz w:val="32"/>
          <w:szCs w:val="32"/>
          <w:lang w:eastAsia="zh-CN"/>
        </w:rPr>
        <w:t>根据项目的实际情况，财政预算的</w:t>
      </w:r>
      <w:r>
        <w:rPr>
          <w:rFonts w:hint="eastAsia" w:ascii="方正仿宋_GB2312" w:hAnsi="方正仿宋_GB2312" w:eastAsia="方正仿宋_GB2312" w:cs="方正仿宋_GB2312"/>
          <w:sz w:val="32"/>
          <w:szCs w:val="32"/>
          <w:lang w:val="en-US" w:eastAsia="zh-CN"/>
        </w:rPr>
        <w:t>5万元经费，主要用于</w:t>
      </w:r>
      <w:r>
        <w:rPr>
          <w:rFonts w:hint="eastAsia" w:ascii="方正仿宋_GB2312" w:hAnsi="方正仿宋_GB2312" w:eastAsia="方正仿宋_GB2312" w:cs="方正仿宋_GB2312"/>
          <w:color w:val="000000"/>
          <w:sz w:val="32"/>
          <w:szCs w:val="32"/>
          <w:lang w:val="en-US" w:eastAsia="zh-CN"/>
        </w:rPr>
        <w:t>涪江、梓江设置禁航标志费用</w:t>
      </w:r>
      <w:r>
        <w:rPr>
          <w:rFonts w:hint="eastAsia" w:ascii="方正仿宋_GB2312" w:hAnsi="方正仿宋_GB2312" w:eastAsia="方正仿宋_GB2312" w:cs="方正仿宋_GB2312"/>
          <w:sz w:val="32"/>
          <w:szCs w:val="32"/>
          <w:lang w:eastAsia="zh-CN"/>
        </w:rPr>
        <w:t>支出</w:t>
      </w:r>
      <w:r>
        <w:rPr>
          <w:rFonts w:hint="eastAsia" w:ascii="方正仿宋_GB2312" w:hAnsi="方正仿宋_GB2312" w:eastAsia="方正仿宋_GB2312" w:cs="方正仿宋_GB2312"/>
          <w:sz w:val="32"/>
          <w:szCs w:val="32"/>
          <w:lang w:val="en-US" w:eastAsia="zh-CN"/>
        </w:rPr>
        <w:t>。</w:t>
      </w:r>
    </w:p>
    <w:p w14:paraId="7C2D5381">
      <w:pPr>
        <w:keepNext w:val="0"/>
        <w:keepLines w:val="0"/>
        <w:pageBreakBefore w:val="0"/>
        <w:numPr>
          <w:ilvl w:val="0"/>
          <w:numId w:val="0"/>
        </w:numPr>
        <w:kinsoku/>
        <w:wordWrap/>
        <w:overflowPunct/>
        <w:topLinePunct w:val="0"/>
        <w:autoSpaceDE/>
        <w:autoSpaceDN/>
        <w:bidi w:val="0"/>
        <w:adjustRightInd w:val="0"/>
        <w:snapToGrid w:val="0"/>
        <w:spacing w:after="0" w:line="600" w:lineRule="exact"/>
        <w:ind w:left="630" w:leftChars="0"/>
        <w:textAlignment w:val="auto"/>
        <w:rPr>
          <w:rFonts w:hint="eastAsia" w:ascii="楷体_GB2312" w:hAnsi="宋体" w:eastAsia="楷体_GB2312"/>
          <w:b/>
          <w:sz w:val="32"/>
          <w:szCs w:val="32"/>
          <w:lang w:val="zh-CN"/>
        </w:rPr>
      </w:pPr>
      <w:r>
        <w:rPr>
          <w:rFonts w:hint="eastAsia" w:ascii="楷体_GB2312" w:hAnsi="宋体" w:eastAsia="楷体_GB2312"/>
          <w:b/>
          <w:sz w:val="32"/>
          <w:szCs w:val="32"/>
          <w:lang w:val="zh-CN"/>
        </w:rPr>
        <w:t>（</w:t>
      </w:r>
      <w:r>
        <w:rPr>
          <w:rFonts w:hint="eastAsia" w:ascii="楷体_GB2312" w:hAnsi="宋体" w:eastAsia="楷体_GB2312"/>
          <w:b/>
          <w:sz w:val="32"/>
          <w:szCs w:val="32"/>
          <w:lang w:val="zh-CN" w:eastAsia="zh-CN"/>
        </w:rPr>
        <w:t>三</w:t>
      </w:r>
      <w:r>
        <w:rPr>
          <w:rFonts w:hint="eastAsia" w:ascii="楷体_GB2312" w:hAnsi="宋体" w:eastAsia="楷体_GB2312"/>
          <w:b/>
          <w:sz w:val="32"/>
          <w:szCs w:val="32"/>
          <w:lang w:val="zh-CN"/>
        </w:rPr>
        <w:t>）项目监管情况。</w:t>
      </w:r>
    </w:p>
    <w:p w14:paraId="2ACEB1D8">
      <w:pPr>
        <w:keepNext w:val="0"/>
        <w:keepLines w:val="0"/>
        <w:pageBreakBefore w:val="0"/>
        <w:numPr>
          <w:ilvl w:val="0"/>
          <w:numId w:val="0"/>
        </w:numPr>
        <w:kinsoku/>
        <w:wordWrap/>
        <w:overflowPunct/>
        <w:topLinePunct w:val="0"/>
        <w:autoSpaceDE/>
        <w:autoSpaceDN/>
        <w:bidi w:val="0"/>
        <w:adjustRightInd w:val="0"/>
        <w:snapToGrid w:val="0"/>
        <w:spacing w:after="0" w:line="600" w:lineRule="exact"/>
        <w:ind w:firstLine="640" w:firstLineChars="200"/>
        <w:textAlignment w:val="auto"/>
        <w:rPr>
          <w:rFonts w:hint="eastAsia"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2"/>
          <w:szCs w:val="32"/>
          <w:lang w:val="zh-CN"/>
        </w:rPr>
        <w:t>根据项目进展情况，我处统筹安排，大的资金根据三重一大相关精神在总支会上通过，不乱花一分钱。</w:t>
      </w:r>
    </w:p>
    <w:p w14:paraId="61EE5349">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outlineLvl w:val="1"/>
        <w:rPr>
          <w:rFonts w:ascii="Times New Roman" w:hAnsi="Times New Roman" w:eastAsia="方正黑体简体"/>
          <w:sz w:val="30"/>
          <w:szCs w:val="30"/>
        </w:rPr>
      </w:pPr>
      <w:bookmarkStart w:id="152" w:name="_Toc9187"/>
      <w:bookmarkStart w:id="153" w:name="_Toc23822"/>
      <w:r>
        <w:rPr>
          <w:rFonts w:hint="eastAsia" w:ascii="Times New Roman" w:hAnsi="Times New Roman" w:eastAsia="方正黑体简体"/>
          <w:sz w:val="30"/>
          <w:szCs w:val="30"/>
        </w:rPr>
        <w:t>四、项目绩效情况</w:t>
      </w:r>
      <w:bookmarkEnd w:id="152"/>
      <w:bookmarkEnd w:id="153"/>
    </w:p>
    <w:p w14:paraId="6FC65FDA">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一</w:t>
      </w:r>
      <w:r>
        <w:rPr>
          <w:rFonts w:ascii="Times New Roman" w:hAnsi="Times New Roman" w:eastAsia="方正楷体简体"/>
          <w:sz w:val="30"/>
          <w:szCs w:val="30"/>
        </w:rPr>
        <w:t>)</w:t>
      </w:r>
      <w:r>
        <w:rPr>
          <w:rFonts w:hint="eastAsia" w:ascii="Times New Roman" w:hAnsi="Times New Roman" w:eastAsia="方正楷体简体"/>
          <w:sz w:val="30"/>
          <w:szCs w:val="30"/>
        </w:rPr>
        <w:t>项目完成情况</w:t>
      </w:r>
    </w:p>
    <w:p w14:paraId="602CD4DB">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ascii="Times New Roman" w:hAnsi="Times New Roman" w:eastAsia="Arial Unicode MS"/>
          <w:sz w:val="30"/>
          <w:szCs w:val="30"/>
        </w:rPr>
      </w:pPr>
      <w:r>
        <w:rPr>
          <w:rFonts w:hint="eastAsia" w:ascii="方正仿宋_GB2312" w:hAnsi="方正仿宋_GB2312" w:eastAsia="方正仿宋_GB2312" w:cs="方正仿宋_GB2312"/>
          <w:sz w:val="32"/>
          <w:szCs w:val="32"/>
          <w:lang w:val="zh-CN"/>
        </w:rPr>
        <w:t>该项目财政预算</w:t>
      </w:r>
      <w:r>
        <w:rPr>
          <w:rFonts w:hint="eastAsia" w:ascii="方正仿宋_GB2312" w:hAnsi="方正仿宋_GB2312" w:eastAsia="方正仿宋_GB2312" w:cs="方正仿宋_GB2312"/>
          <w:sz w:val="32"/>
          <w:szCs w:val="32"/>
          <w:lang w:val="en-US" w:eastAsia="zh-CN"/>
        </w:rPr>
        <w:t>5万元，实际支出3.27万元，</w:t>
      </w:r>
      <w:r>
        <w:rPr>
          <w:rFonts w:hint="eastAsia" w:ascii="方正仿宋_GB2312" w:hAnsi="方正仿宋_GB2312" w:eastAsia="方正仿宋_GB2312" w:cs="方正仿宋_GB2312"/>
          <w:color w:val="000000"/>
          <w:sz w:val="32"/>
          <w:szCs w:val="32"/>
        </w:rPr>
        <w:t>有效保障</w:t>
      </w:r>
      <w:r>
        <w:rPr>
          <w:rFonts w:hint="eastAsia" w:ascii="方正仿宋_GB2312" w:hAnsi="方正仿宋_GB2312" w:eastAsia="方正仿宋_GB2312" w:cs="方正仿宋_GB2312"/>
          <w:color w:val="000000"/>
          <w:sz w:val="32"/>
          <w:szCs w:val="32"/>
          <w:lang w:eastAsia="zh-CN"/>
        </w:rPr>
        <w:t>了</w:t>
      </w:r>
      <w:r>
        <w:rPr>
          <w:rFonts w:hint="eastAsia" w:ascii="方正仿宋_GB2312" w:hAnsi="方正仿宋_GB2312" w:eastAsia="方正仿宋_GB2312" w:cs="方正仿宋_GB2312"/>
          <w:color w:val="000000"/>
          <w:sz w:val="32"/>
          <w:szCs w:val="32"/>
        </w:rPr>
        <w:t>水上交通安全及防汛抢险应急救援工作。</w:t>
      </w:r>
    </w:p>
    <w:p w14:paraId="73BD689F">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二</w:t>
      </w:r>
      <w:r>
        <w:rPr>
          <w:rFonts w:ascii="Times New Roman" w:hAnsi="Times New Roman" w:eastAsia="方正楷体简体"/>
          <w:sz w:val="30"/>
          <w:szCs w:val="30"/>
        </w:rPr>
        <w:t>)</w:t>
      </w:r>
      <w:r>
        <w:rPr>
          <w:rFonts w:hint="eastAsia" w:ascii="Times New Roman" w:hAnsi="Times New Roman" w:eastAsia="方正楷体简体"/>
          <w:sz w:val="30"/>
          <w:szCs w:val="30"/>
        </w:rPr>
        <w:t>项目效益情况</w:t>
      </w:r>
    </w:p>
    <w:p w14:paraId="7EF0600F">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sz w:val="32"/>
          <w:szCs w:val="32"/>
          <w:lang w:val="en-US" w:eastAsia="zh-CN"/>
        </w:rPr>
        <w:t>从</w:t>
      </w:r>
      <w:r>
        <w:rPr>
          <w:rFonts w:hint="eastAsia" w:ascii="方正仿宋_GB2312" w:hAnsi="方正仿宋_GB2312" w:eastAsia="方正仿宋_GB2312" w:cs="方正仿宋_GB2312"/>
          <w:color w:val="000000"/>
          <w:sz w:val="32"/>
          <w:szCs w:val="32"/>
          <w:lang w:val="en-US" w:eastAsia="zh-CN"/>
        </w:rPr>
        <w:t>涪江、梓江设置禁航标志</w:t>
      </w:r>
      <w:r>
        <w:rPr>
          <w:rFonts w:hint="eastAsia" w:ascii="方正仿宋_GB2312" w:hAnsi="方正仿宋_GB2312" w:eastAsia="方正仿宋_GB2312" w:cs="方正仿宋_GB2312"/>
          <w:sz w:val="32"/>
          <w:szCs w:val="32"/>
          <w:lang w:val="en-US" w:eastAsia="zh-CN"/>
        </w:rPr>
        <w:t>立项情况看，项目立项规范，内容合理，项目绩效目标合理明晰，符合相关政策。从项目管理方面看，资金涉及项目均制定了相应的项目管理、执行制度和方案，制度执行基本规范有效。从项目建设方面看，专项资金所涉及项目均已实施完毕。从项目实施效果看，各项业务社会效益显著，可持续影响明显，群众满意度显著提高</w:t>
      </w:r>
      <w:r>
        <w:rPr>
          <w:rFonts w:hint="eastAsia" w:ascii="方正仿宋_GB2312" w:hAnsi="方正仿宋_GB2312" w:eastAsia="方正仿宋_GB2312" w:cs="方正仿宋_GB2312"/>
          <w:sz w:val="30"/>
          <w:szCs w:val="30"/>
        </w:rPr>
        <w:t>。</w:t>
      </w:r>
    </w:p>
    <w:p w14:paraId="70CB5180">
      <w:pPr>
        <w:keepNext w:val="0"/>
        <w:keepLines w:val="0"/>
        <w:pageBreakBefore w:val="0"/>
        <w:kinsoku/>
        <w:wordWrap/>
        <w:overflowPunct/>
        <w:topLinePunct w:val="0"/>
        <w:autoSpaceDE/>
        <w:autoSpaceDN/>
        <w:bidi w:val="0"/>
        <w:adjustRightInd w:val="0"/>
        <w:snapToGrid w:val="0"/>
        <w:spacing w:after="0" w:line="600" w:lineRule="exact"/>
        <w:ind w:firstLine="720"/>
        <w:textAlignment w:val="auto"/>
        <w:outlineLvl w:val="1"/>
        <w:rPr>
          <w:rFonts w:ascii="Times New Roman" w:hAnsi="Times New Roman" w:eastAsia="方正黑体简体"/>
          <w:sz w:val="30"/>
          <w:szCs w:val="30"/>
        </w:rPr>
      </w:pPr>
      <w:bookmarkStart w:id="154" w:name="_Toc19771"/>
      <w:bookmarkStart w:id="155" w:name="_Toc29791"/>
      <w:r>
        <w:rPr>
          <w:rFonts w:hint="eastAsia" w:ascii="Times New Roman" w:hAnsi="Times New Roman" w:eastAsia="方正黑体简体"/>
          <w:sz w:val="30"/>
          <w:szCs w:val="30"/>
        </w:rPr>
        <w:t>五、评价结论及建议</w:t>
      </w:r>
      <w:bookmarkEnd w:id="154"/>
      <w:bookmarkEnd w:id="155"/>
    </w:p>
    <w:p w14:paraId="17FF1E30">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一</w:t>
      </w:r>
      <w:r>
        <w:rPr>
          <w:rFonts w:ascii="Times New Roman" w:hAnsi="Times New Roman" w:eastAsia="方正楷体简体"/>
          <w:sz w:val="30"/>
          <w:szCs w:val="30"/>
        </w:rPr>
        <w:t>)</w:t>
      </w:r>
      <w:r>
        <w:rPr>
          <w:rFonts w:hint="eastAsia" w:ascii="Times New Roman" w:hAnsi="Times New Roman" w:eastAsia="方正楷体简体"/>
          <w:sz w:val="30"/>
          <w:szCs w:val="30"/>
        </w:rPr>
        <w:t>评价结论</w:t>
      </w:r>
    </w:p>
    <w:p w14:paraId="2277A614">
      <w:pPr>
        <w:keepNext w:val="0"/>
        <w:keepLines w:val="0"/>
        <w:pageBreakBefore w:val="0"/>
        <w:kinsoku/>
        <w:wordWrap/>
        <w:overflowPunct/>
        <w:topLinePunct w:val="0"/>
        <w:autoSpaceDE/>
        <w:autoSpaceDN/>
        <w:bidi w:val="0"/>
        <w:adjustRightInd w:val="0"/>
        <w:snapToGrid w:val="0"/>
        <w:spacing w:after="0" w:line="600" w:lineRule="exact"/>
        <w:ind w:firstLine="720"/>
        <w:textAlignment w:val="auto"/>
        <w:rPr>
          <w:rFonts w:hint="eastAsia" w:ascii="方正仿宋_GB2312" w:hAnsi="方正仿宋_GB2312" w:eastAsia="方正仿宋_GB2312" w:cs="方正仿宋_GB2312"/>
          <w:color w:val="000000"/>
          <w:sz w:val="32"/>
          <w:szCs w:val="32"/>
        </w:rPr>
      </w:pPr>
      <w:r>
        <w:rPr>
          <w:rFonts w:hint="eastAsia" w:ascii="方正仿宋_GB2312" w:hAnsi="方正仿宋_GB2312" w:eastAsia="方正仿宋_GB2312" w:cs="方正仿宋_GB2312"/>
          <w:sz w:val="32"/>
          <w:szCs w:val="32"/>
          <w:lang w:val="zh-CN"/>
        </w:rPr>
        <w:t>通过绩效评价，</w:t>
      </w:r>
      <w:r>
        <w:rPr>
          <w:rFonts w:hint="eastAsia" w:ascii="方正仿宋_GB2312" w:hAnsi="方正仿宋_GB2312" w:eastAsia="方正仿宋_GB2312" w:cs="方正仿宋_GB2312"/>
          <w:color w:val="000000"/>
          <w:sz w:val="32"/>
          <w:szCs w:val="32"/>
          <w:lang w:val="en-US" w:eastAsia="zh-CN"/>
        </w:rPr>
        <w:t>涪江、梓江设置禁航标志费用支</w:t>
      </w:r>
      <w:r>
        <w:rPr>
          <w:rFonts w:hint="eastAsia" w:ascii="方正仿宋_GB2312" w:hAnsi="方正仿宋_GB2312" w:eastAsia="方正仿宋_GB2312" w:cs="方正仿宋_GB2312"/>
          <w:sz w:val="32"/>
          <w:szCs w:val="32"/>
          <w:lang w:eastAsia="zh-CN"/>
        </w:rPr>
        <w:t>出</w:t>
      </w:r>
      <w:r>
        <w:rPr>
          <w:rFonts w:hint="eastAsia" w:ascii="方正仿宋_GB2312" w:hAnsi="方正仿宋_GB2312" w:eastAsia="方正仿宋_GB2312" w:cs="方正仿宋_GB2312"/>
          <w:sz w:val="32"/>
          <w:szCs w:val="32"/>
          <w:lang w:val="zh-CN"/>
        </w:rPr>
        <w:t>基本做到项目立项规范合理，资金使用合法合规，项目建设有序推进，资金效果逐步显现。该项目的实施</w:t>
      </w:r>
      <w:r>
        <w:rPr>
          <w:rFonts w:hint="eastAsia" w:ascii="方正仿宋_GB2312" w:hAnsi="方正仿宋_GB2312" w:eastAsia="方正仿宋_GB2312" w:cs="方正仿宋_GB2312"/>
          <w:color w:val="000000"/>
          <w:sz w:val="32"/>
          <w:szCs w:val="32"/>
        </w:rPr>
        <w:t>有效保障了水上交通安全及防汛抢险应急救援工作。</w:t>
      </w:r>
    </w:p>
    <w:p w14:paraId="2CE1A692">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二</w:t>
      </w:r>
      <w:r>
        <w:rPr>
          <w:rFonts w:ascii="Times New Roman" w:hAnsi="Times New Roman" w:eastAsia="方正楷体简体"/>
          <w:sz w:val="30"/>
          <w:szCs w:val="30"/>
        </w:rPr>
        <w:t>)</w:t>
      </w:r>
      <w:r>
        <w:rPr>
          <w:rFonts w:hint="eastAsia" w:ascii="Times New Roman" w:hAnsi="Times New Roman" w:eastAsia="方正楷体简体"/>
          <w:sz w:val="30"/>
          <w:szCs w:val="30"/>
        </w:rPr>
        <w:t>存在的问题</w:t>
      </w:r>
    </w:p>
    <w:p w14:paraId="1DA35EB4">
      <w:pPr>
        <w:keepNext w:val="0"/>
        <w:keepLines w:val="0"/>
        <w:pageBreakBefore w:val="0"/>
        <w:kinsoku/>
        <w:wordWrap/>
        <w:overflowPunct/>
        <w:topLinePunct w:val="0"/>
        <w:autoSpaceDE/>
        <w:autoSpaceDN/>
        <w:bidi w:val="0"/>
        <w:adjustRightInd w:val="0"/>
        <w:snapToGrid w:val="0"/>
        <w:spacing w:after="0" w:line="600" w:lineRule="exact"/>
        <w:ind w:firstLine="640" w:firstLineChars="200"/>
        <w:textAlignment w:val="auto"/>
        <w:rPr>
          <w:rFonts w:ascii="仿宋_GB2312" w:hAnsi="宋体" w:eastAsia="仿宋_GB2312"/>
          <w:sz w:val="32"/>
          <w:szCs w:val="32"/>
          <w:lang w:val="zh-CN"/>
        </w:rPr>
      </w:pPr>
      <w:r>
        <w:rPr>
          <w:rFonts w:hint="eastAsia" w:ascii="方正仿宋_GB2312" w:hAnsi="方正仿宋_GB2312" w:eastAsia="方正仿宋_GB2312" w:cs="方正仿宋_GB2312"/>
          <w:i w:val="0"/>
          <w:caps w:val="0"/>
          <w:color w:val="333333"/>
          <w:spacing w:val="0"/>
          <w:kern w:val="0"/>
          <w:sz w:val="32"/>
          <w:szCs w:val="32"/>
          <w:shd w:val="clear" w:color="auto" w:fill="FFFFFF"/>
          <w:lang w:val="en-US" w:eastAsia="zh-CN" w:bidi="ar"/>
        </w:rPr>
        <w:t>财务制度不够完善，业务素质有待提高，预算数与决算数有脱节的现象。</w:t>
      </w:r>
      <w:r>
        <w:rPr>
          <w:rFonts w:ascii="仿宋_GB2312" w:hAnsi="宋体" w:eastAsia="仿宋_GB2312"/>
          <w:sz w:val="32"/>
          <w:szCs w:val="32"/>
          <w:lang w:val="zh-CN"/>
        </w:rPr>
        <w:tab/>
      </w:r>
    </w:p>
    <w:p w14:paraId="56718538">
      <w:pPr>
        <w:keepNext w:val="0"/>
        <w:keepLines w:val="0"/>
        <w:pageBreakBefore w:val="0"/>
        <w:widowControl w:val="0"/>
        <w:kinsoku/>
        <w:wordWrap/>
        <w:overflowPunct/>
        <w:topLinePunct w:val="0"/>
        <w:autoSpaceDE/>
        <w:autoSpaceDN/>
        <w:bidi w:val="0"/>
        <w:spacing w:after="0" w:line="560" w:lineRule="exact"/>
        <w:ind w:firstLine="600" w:firstLineChars="200"/>
        <w:jc w:val="both"/>
        <w:textAlignment w:val="auto"/>
        <w:rPr>
          <w:rFonts w:ascii="Times New Roman" w:hAnsi="Times New Roman" w:eastAsia="方正楷体简体"/>
          <w:sz w:val="30"/>
          <w:szCs w:val="30"/>
        </w:rPr>
      </w:pPr>
      <w:r>
        <w:rPr>
          <w:rFonts w:ascii="Times New Roman" w:hAnsi="Times New Roman" w:eastAsia="方正楷体简体"/>
          <w:sz w:val="30"/>
          <w:szCs w:val="30"/>
        </w:rPr>
        <w:t>(</w:t>
      </w:r>
      <w:r>
        <w:rPr>
          <w:rFonts w:hint="eastAsia" w:ascii="Times New Roman" w:hAnsi="Times New Roman" w:eastAsia="方正楷体简体"/>
          <w:sz w:val="30"/>
          <w:szCs w:val="30"/>
        </w:rPr>
        <w:t>三</w:t>
      </w:r>
      <w:r>
        <w:rPr>
          <w:rFonts w:ascii="Times New Roman" w:hAnsi="Times New Roman" w:eastAsia="方正楷体简体"/>
          <w:sz w:val="30"/>
          <w:szCs w:val="30"/>
        </w:rPr>
        <w:t>)</w:t>
      </w:r>
      <w:r>
        <w:rPr>
          <w:rFonts w:hint="eastAsia" w:ascii="Times New Roman" w:hAnsi="Times New Roman" w:eastAsia="方正楷体简体"/>
          <w:sz w:val="30"/>
          <w:szCs w:val="30"/>
        </w:rPr>
        <w:t>相关建议</w:t>
      </w:r>
    </w:p>
    <w:p w14:paraId="020DB39A">
      <w:pPr>
        <w:keepNext w:val="0"/>
        <w:keepLines w:val="0"/>
        <w:pageBreakBefore w:val="0"/>
        <w:kinsoku/>
        <w:wordWrap/>
        <w:overflowPunct/>
        <w:topLinePunct w:val="0"/>
        <w:autoSpaceDE/>
        <w:autoSpaceDN/>
        <w:bidi w:val="0"/>
        <w:spacing w:after="0" w:line="580" w:lineRule="exact"/>
        <w:ind w:firstLine="640" w:firstLineChars="200"/>
        <w:textAlignment w:val="auto"/>
        <w:rPr>
          <w:rFonts w:ascii="Times New Roman" w:hAnsi="Times New Roman" w:eastAsia="Arial Unicode MS"/>
          <w:sz w:val="30"/>
          <w:szCs w:val="30"/>
        </w:rPr>
      </w:pPr>
      <w:r>
        <w:rPr>
          <w:rFonts w:hint="eastAsia" w:ascii="方正仿宋_GB2312" w:hAnsi="方正仿宋_GB2312" w:eastAsia="方正仿宋_GB2312" w:cs="方正仿宋_GB2312"/>
          <w:i w:val="0"/>
          <w:caps w:val="0"/>
          <w:color w:val="333333"/>
          <w:spacing w:val="0"/>
          <w:kern w:val="0"/>
          <w:sz w:val="32"/>
          <w:szCs w:val="32"/>
          <w:shd w:val="clear" w:color="auto" w:fill="FFFFFF"/>
          <w:lang w:val="en-US" w:eastAsia="zh-CN" w:bidi="ar"/>
        </w:rPr>
        <w:t>加强监管，做到监管机制环环相扣，不出现断层、行政单位预算是财政总预算的基础，它是党和国家方针政策和社会发展战略在行政单位预算中的体现，是单位行政正常开展业务活动的重要经济保证。</w:t>
      </w:r>
    </w:p>
    <w:p w14:paraId="474B2A5B">
      <w:pPr>
        <w:rPr>
          <w:rFonts w:hint="eastAsia" w:ascii="黑体" w:hAnsi="黑体" w:eastAsia="黑体"/>
        </w:rPr>
      </w:pPr>
      <w:r>
        <w:rPr>
          <w:rFonts w:hint="eastAsia" w:ascii="黑体" w:hAnsi="黑体" w:eastAsia="黑体"/>
        </w:rPr>
        <w:br w:type="page"/>
      </w:r>
    </w:p>
    <w:p w14:paraId="65502D37">
      <w:pPr>
        <w:keepNext w:val="0"/>
        <w:keepLines w:val="0"/>
        <w:pageBreakBefore w:val="0"/>
        <w:widowControl w:val="0"/>
        <w:kinsoku/>
        <w:wordWrap/>
        <w:overflowPunct/>
        <w:topLinePunct w:val="0"/>
        <w:autoSpaceDE/>
        <w:autoSpaceDN/>
        <w:bidi w:val="0"/>
        <w:adjustRightInd/>
        <w:snapToGrid w:val="0"/>
        <w:spacing w:after="0" w:line="700" w:lineRule="exact"/>
        <w:jc w:val="center"/>
        <w:textAlignment w:val="auto"/>
        <w:outlineLvl w:val="1"/>
        <w:rPr>
          <w:rFonts w:hint="eastAsia" w:ascii="Times New Roman" w:hAnsi="Times New Roman" w:eastAsia="微软雅黑" w:cs="Times New Roman"/>
          <w:kern w:val="2"/>
          <w:sz w:val="36"/>
          <w:szCs w:val="36"/>
          <w:lang w:val="en-US" w:eastAsia="zh-CN"/>
        </w:rPr>
      </w:pPr>
      <w:bookmarkStart w:id="156" w:name="_Toc2570"/>
      <w:bookmarkStart w:id="157" w:name="_Toc20815"/>
      <w:r>
        <w:rPr>
          <w:rFonts w:hint="eastAsia" w:ascii="Times New Roman" w:hAnsi="Times New Roman" w:eastAsia="微软雅黑" w:cs="Times New Roman"/>
          <w:kern w:val="2"/>
          <w:sz w:val="36"/>
          <w:szCs w:val="36"/>
          <w:lang w:val="en-US" w:eastAsia="zh-CN"/>
        </w:rPr>
        <w:t>四川省射洪市地方海事处</w:t>
      </w:r>
      <w:bookmarkEnd w:id="156"/>
      <w:bookmarkEnd w:id="157"/>
    </w:p>
    <w:p w14:paraId="6A19349C">
      <w:pPr>
        <w:rPr>
          <w:rFonts w:hint="eastAsia" w:ascii="黑体" w:hAnsi="黑体" w:eastAsia="黑体"/>
        </w:rPr>
      </w:pPr>
    </w:p>
    <w:tbl>
      <w:tblPr>
        <w:tblStyle w:val="16"/>
        <w:tblW w:w="0" w:type="auto"/>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3"/>
        <w:gridCol w:w="570"/>
        <w:gridCol w:w="1008"/>
        <w:gridCol w:w="1492"/>
        <w:gridCol w:w="833"/>
        <w:gridCol w:w="1087"/>
        <w:gridCol w:w="1181"/>
        <w:gridCol w:w="1582"/>
      </w:tblGrid>
      <w:tr w14:paraId="6DAC9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8"/>
            <w:tcBorders>
              <w:top w:val="nil"/>
              <w:left w:val="nil"/>
              <w:bottom w:val="nil"/>
              <w:right w:val="nil"/>
            </w:tcBorders>
            <w:shd w:val="clear" w:color="auto" w:fill="auto"/>
            <w:vAlign w:val="center"/>
          </w:tcPr>
          <w:p w14:paraId="5520D4B1">
            <w:pPr>
              <w:keepNext w:val="0"/>
              <w:keepLines w:val="0"/>
              <w:widowControl/>
              <w:suppressLineNumbers w:val="0"/>
              <w:jc w:val="center"/>
              <w:textAlignment w:val="center"/>
              <w:rPr>
                <w:rFonts w:ascii="微软雅黑" w:hAnsi="微软雅黑" w:eastAsia="微软雅黑" w:cs="微软雅黑"/>
                <w:i w:val="0"/>
                <w:iCs w:val="0"/>
                <w:color w:val="000000"/>
                <w:sz w:val="36"/>
                <w:szCs w:val="36"/>
                <w:u w:val="none"/>
              </w:rPr>
            </w:pPr>
            <w:r>
              <w:rPr>
                <w:rFonts w:hint="eastAsia" w:ascii="微软雅黑" w:hAnsi="微软雅黑" w:eastAsia="微软雅黑" w:cs="微软雅黑"/>
                <w:i w:val="0"/>
                <w:iCs w:val="0"/>
                <w:color w:val="000000"/>
                <w:kern w:val="0"/>
                <w:sz w:val="32"/>
                <w:szCs w:val="32"/>
                <w:u w:val="none"/>
                <w:lang w:val="en-US" w:eastAsia="zh-CN" w:bidi="ar"/>
              </w:rPr>
              <w:t>涪江、梓江设置航道标志专项经费项目支出绩效自评表</w:t>
            </w:r>
          </w:p>
        </w:tc>
      </w:tr>
      <w:tr w14:paraId="5065C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8"/>
            <w:tcBorders>
              <w:top w:val="nil"/>
              <w:left w:val="nil"/>
              <w:bottom w:val="single" w:color="000000" w:sz="8" w:space="0"/>
              <w:right w:val="nil"/>
            </w:tcBorders>
            <w:shd w:val="clear" w:color="auto" w:fill="auto"/>
            <w:vAlign w:val="top"/>
          </w:tcPr>
          <w:p w14:paraId="64449EDC">
            <w:pPr>
              <w:keepNext w:val="0"/>
              <w:keepLines w:val="0"/>
              <w:widowControl/>
              <w:suppressLineNumbers w:val="0"/>
              <w:jc w:val="center"/>
              <w:textAlignment w:val="top"/>
              <w:rPr>
                <w:rFonts w:ascii="Arial Unicode MS" w:hAnsi="Arial Unicode MS" w:eastAsia="Arial Unicode MS" w:cs="Arial Unicode MS"/>
                <w:i w:val="0"/>
                <w:iCs w:val="0"/>
                <w:color w:val="000000"/>
                <w:sz w:val="18"/>
                <w:szCs w:val="18"/>
                <w:u w:val="none"/>
              </w:rPr>
            </w:pPr>
            <w:r>
              <w:rPr>
                <w:rFonts w:hint="eastAsia" w:ascii="Arial Unicode MS" w:hAnsi="Arial Unicode MS" w:eastAsia="Arial Unicode MS" w:cs="Arial Unicode MS"/>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2023</w:t>
            </w:r>
            <w:r>
              <w:rPr>
                <w:rFonts w:hint="eastAsia" w:ascii="Arial Unicode MS" w:hAnsi="Arial Unicode MS" w:eastAsia="Arial Unicode MS" w:cs="Arial Unicode MS"/>
                <w:i w:val="0"/>
                <w:iCs w:val="0"/>
                <w:color w:val="000000"/>
                <w:kern w:val="0"/>
                <w:sz w:val="18"/>
                <w:szCs w:val="18"/>
                <w:u w:val="none"/>
                <w:lang w:val="en-US" w:eastAsia="zh-CN" w:bidi="ar"/>
              </w:rPr>
              <w:t>年度）</w:t>
            </w:r>
          </w:p>
        </w:tc>
      </w:tr>
      <w:tr w14:paraId="0E57A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single" w:color="000000" w:sz="8" w:space="0"/>
              <w:right w:val="single" w:color="000000" w:sz="8" w:space="0"/>
            </w:tcBorders>
            <w:shd w:val="clear" w:color="auto" w:fill="auto"/>
            <w:vAlign w:val="center"/>
          </w:tcPr>
          <w:p w14:paraId="11F6E50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项目名称</w:t>
            </w:r>
          </w:p>
        </w:tc>
        <w:tc>
          <w:tcPr>
            <w:tcW w:w="0" w:type="auto"/>
            <w:gridSpan w:val="5"/>
            <w:tcBorders>
              <w:top w:val="single" w:color="000000" w:sz="8" w:space="0"/>
              <w:left w:val="single" w:color="000000" w:sz="8" w:space="0"/>
              <w:bottom w:val="single" w:color="000000" w:sz="8" w:space="0"/>
              <w:right w:val="single" w:color="000000" w:sz="8" w:space="0"/>
            </w:tcBorders>
            <w:shd w:val="clear" w:color="auto" w:fill="auto"/>
            <w:vAlign w:val="center"/>
          </w:tcPr>
          <w:p w14:paraId="302155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涪江、梓江设置航道标志专项经费</w:t>
            </w:r>
          </w:p>
        </w:tc>
      </w:tr>
      <w:tr w14:paraId="6F6C7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single" w:color="000000" w:sz="8" w:space="0"/>
              <w:right w:val="single" w:color="000000" w:sz="8" w:space="0"/>
            </w:tcBorders>
            <w:shd w:val="clear" w:color="auto" w:fill="auto"/>
            <w:vAlign w:val="center"/>
          </w:tcPr>
          <w:p w14:paraId="313F261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项目主管部门</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629FD3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射洪市交通运输局部门</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629E852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资金使用单位</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6D5BA3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射洪市地方海事处</w:t>
            </w:r>
          </w:p>
        </w:tc>
      </w:tr>
      <w:tr w14:paraId="6316C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nil"/>
              <w:right w:val="single" w:color="000000" w:sz="8" w:space="0"/>
            </w:tcBorders>
            <w:shd w:val="clear" w:color="auto" w:fill="auto"/>
            <w:vAlign w:val="center"/>
          </w:tcPr>
          <w:p w14:paraId="64BDE6A0">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项目资金</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969A1AA">
            <w:pPr>
              <w:rPr>
                <w:rFonts w:hint="eastAsia" w:ascii="宋体" w:hAnsi="宋体" w:eastAsia="宋体" w:cs="宋体"/>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1CAE85F5">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全年预算数</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4AF61190">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全年执行数</w:t>
            </w:r>
          </w:p>
        </w:tc>
        <w:tc>
          <w:tcPr>
            <w:tcW w:w="0" w:type="auto"/>
            <w:tcBorders>
              <w:top w:val="single" w:color="000000" w:sz="8" w:space="0"/>
              <w:left w:val="single" w:color="000000" w:sz="8" w:space="0"/>
              <w:bottom w:val="single" w:color="000000" w:sz="8" w:space="0"/>
              <w:right w:val="single" w:color="000000" w:sz="8" w:space="0"/>
            </w:tcBorders>
            <w:shd w:val="clear" w:color="auto" w:fill="auto"/>
            <w:vAlign w:val="center"/>
          </w:tcPr>
          <w:p w14:paraId="6DF4B381">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预算执行率</w:t>
            </w:r>
          </w:p>
        </w:tc>
      </w:tr>
      <w:tr w14:paraId="673D9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nil"/>
              <w:right w:val="single" w:color="000000" w:sz="8" w:space="0"/>
            </w:tcBorders>
            <w:shd w:val="clear" w:color="auto" w:fill="auto"/>
            <w:noWrap/>
            <w:vAlign w:val="center"/>
          </w:tcPr>
          <w:p w14:paraId="0EC5DC86">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692EB537">
            <w:pPr>
              <w:keepNext w:val="0"/>
              <w:keepLines w:val="0"/>
              <w:widowControl/>
              <w:suppressLineNumbers w:val="0"/>
              <w:jc w:val="both"/>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年度资金总额：</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4A4B6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7AF1CC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3.27</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BD616D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65.44%</w:t>
            </w:r>
          </w:p>
        </w:tc>
      </w:tr>
      <w:tr w14:paraId="73346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nil"/>
              <w:right w:val="single" w:color="000000" w:sz="8" w:space="0"/>
            </w:tcBorders>
            <w:shd w:val="clear" w:color="auto" w:fill="auto"/>
            <w:vAlign w:val="center"/>
          </w:tcPr>
          <w:p w14:paraId="08B673D7">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（万元）</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311DC2D">
            <w:pPr>
              <w:keepNext w:val="0"/>
              <w:keepLines w:val="0"/>
              <w:widowControl/>
              <w:suppressLineNumbers w:val="0"/>
              <w:jc w:val="left"/>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其中：中央、省补助</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1910942">
            <w:pPr>
              <w:jc w:val="center"/>
              <w:rPr>
                <w:rFonts w:hint="eastAsia" w:ascii="宋体" w:hAnsi="宋体" w:eastAsia="宋体" w:cs="宋体"/>
                <w:i w:val="0"/>
                <w:iCs w:val="0"/>
                <w:color w:val="000000"/>
                <w:sz w:val="16"/>
                <w:szCs w:val="16"/>
                <w:u w:val="none"/>
              </w:rPr>
            </w:pP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598C95AC">
            <w:pPr>
              <w:jc w:val="center"/>
              <w:rPr>
                <w:rFonts w:hint="eastAsia" w:ascii="宋体" w:hAnsi="宋体" w:eastAsia="宋体" w:cs="宋体"/>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229BD11D">
            <w:pPr>
              <w:jc w:val="center"/>
              <w:rPr>
                <w:rFonts w:hint="eastAsia" w:ascii="宋体" w:hAnsi="宋体" w:eastAsia="宋体" w:cs="宋体"/>
                <w:i w:val="0"/>
                <w:iCs w:val="0"/>
                <w:color w:val="000000"/>
                <w:sz w:val="16"/>
                <w:szCs w:val="16"/>
                <w:u w:val="none"/>
              </w:rPr>
            </w:pPr>
          </w:p>
        </w:tc>
      </w:tr>
      <w:tr w14:paraId="26B53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nil"/>
              <w:right w:val="single" w:color="000000" w:sz="8" w:space="0"/>
            </w:tcBorders>
            <w:shd w:val="clear" w:color="auto" w:fill="auto"/>
            <w:noWrap/>
            <w:vAlign w:val="center"/>
          </w:tcPr>
          <w:p w14:paraId="03271E3E">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41A573E8">
            <w:pPr>
              <w:keepNext w:val="0"/>
              <w:keepLines w:val="0"/>
              <w:widowControl/>
              <w:suppressLineNumbers w:val="0"/>
              <w:ind w:firstLineChars="200"/>
              <w:jc w:val="left"/>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市级财政资金</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D3E898A">
            <w:pPr>
              <w:jc w:val="center"/>
              <w:rPr>
                <w:rFonts w:hint="eastAsia" w:ascii="宋体" w:hAnsi="宋体" w:eastAsia="宋体" w:cs="宋体"/>
                <w:i w:val="0"/>
                <w:iCs w:val="0"/>
                <w:color w:val="000000"/>
                <w:sz w:val="16"/>
                <w:szCs w:val="16"/>
                <w:u w:val="none"/>
              </w:rPr>
            </w:pP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5E2D2425">
            <w:pPr>
              <w:jc w:val="center"/>
              <w:rPr>
                <w:rFonts w:hint="eastAsia" w:ascii="宋体" w:hAnsi="宋体" w:eastAsia="宋体" w:cs="宋体"/>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5C6BECA4">
            <w:pPr>
              <w:jc w:val="center"/>
              <w:rPr>
                <w:rFonts w:hint="eastAsia" w:ascii="宋体" w:hAnsi="宋体" w:eastAsia="宋体" w:cs="宋体"/>
                <w:i w:val="0"/>
                <w:iCs w:val="0"/>
                <w:color w:val="000000"/>
                <w:sz w:val="16"/>
                <w:szCs w:val="16"/>
                <w:u w:val="none"/>
              </w:rPr>
            </w:pPr>
          </w:p>
        </w:tc>
      </w:tr>
      <w:tr w14:paraId="6EF72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nil"/>
              <w:right w:val="single" w:color="000000" w:sz="8" w:space="0"/>
            </w:tcBorders>
            <w:shd w:val="clear" w:color="auto" w:fill="auto"/>
            <w:noWrap/>
            <w:vAlign w:val="center"/>
          </w:tcPr>
          <w:p w14:paraId="2C3DD875">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559108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r>
              <w:rPr>
                <w:rFonts w:hint="eastAsia" w:ascii="Arial Unicode MS" w:hAnsi="Arial Unicode MS" w:eastAsia="Arial Unicode MS" w:cs="Arial Unicode MS"/>
                <w:i w:val="0"/>
                <w:iCs w:val="0"/>
                <w:color w:val="000000"/>
                <w:kern w:val="0"/>
                <w:sz w:val="16"/>
                <w:szCs w:val="16"/>
                <w:u w:val="none"/>
                <w:lang w:val="en-US" w:eastAsia="zh-CN" w:bidi="ar"/>
              </w:rPr>
              <w:t>县级财政资金</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3985B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74EDCA9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3.27</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313FC54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65.44%</w:t>
            </w:r>
          </w:p>
        </w:tc>
      </w:tr>
      <w:tr w14:paraId="2AEC5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gridSpan w:val="3"/>
            <w:tcBorders>
              <w:top w:val="nil"/>
              <w:left w:val="single" w:color="000000" w:sz="8" w:space="0"/>
              <w:bottom w:val="single" w:color="000000" w:sz="8" w:space="0"/>
              <w:right w:val="single" w:color="000000" w:sz="8" w:space="0"/>
            </w:tcBorders>
            <w:shd w:val="clear" w:color="auto" w:fill="auto"/>
            <w:noWrap/>
            <w:vAlign w:val="center"/>
          </w:tcPr>
          <w:p w14:paraId="7E29EB47">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4E9766E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r>
              <w:rPr>
                <w:rFonts w:hint="eastAsia" w:ascii="Arial Unicode MS" w:hAnsi="Arial Unicode MS" w:eastAsia="Arial Unicode MS" w:cs="Arial Unicode MS"/>
                <w:i w:val="0"/>
                <w:iCs w:val="0"/>
                <w:color w:val="000000"/>
                <w:kern w:val="0"/>
                <w:sz w:val="16"/>
                <w:szCs w:val="16"/>
                <w:u w:val="none"/>
                <w:lang w:val="en-US" w:eastAsia="zh-CN" w:bidi="ar"/>
              </w:rPr>
              <w:t>其他资金</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5DEC0C7">
            <w:pPr>
              <w:jc w:val="center"/>
              <w:rPr>
                <w:rFonts w:hint="eastAsia" w:ascii="宋体" w:hAnsi="宋体" w:eastAsia="宋体" w:cs="宋体"/>
                <w:i w:val="0"/>
                <w:iCs w:val="0"/>
                <w:color w:val="000000"/>
                <w:sz w:val="16"/>
                <w:szCs w:val="16"/>
                <w:u w:val="none"/>
              </w:rPr>
            </w:pP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1384392D">
            <w:pPr>
              <w:jc w:val="center"/>
              <w:rPr>
                <w:rFonts w:hint="eastAsia" w:ascii="宋体" w:hAnsi="宋体" w:eastAsia="宋体" w:cs="宋体"/>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76A4FE15">
            <w:pPr>
              <w:rPr>
                <w:rFonts w:hint="eastAsia" w:ascii="宋体" w:hAnsi="宋体" w:eastAsia="宋体" w:cs="宋体"/>
                <w:i w:val="0"/>
                <w:iCs w:val="0"/>
                <w:color w:val="000000"/>
                <w:sz w:val="16"/>
                <w:szCs w:val="16"/>
                <w:u w:val="none"/>
              </w:rPr>
            </w:pPr>
          </w:p>
        </w:tc>
      </w:tr>
      <w:tr w14:paraId="2149D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85BEAD1">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总体目标完成情况</w:t>
            </w:r>
          </w:p>
        </w:tc>
        <w:tc>
          <w:tcPr>
            <w:tcW w:w="0" w:type="auto"/>
            <w:gridSpan w:val="4"/>
            <w:tcBorders>
              <w:top w:val="nil"/>
              <w:left w:val="single" w:color="000000" w:sz="8" w:space="0"/>
              <w:bottom w:val="single" w:color="000000" w:sz="8" w:space="0"/>
              <w:right w:val="single" w:color="000000" w:sz="8" w:space="0"/>
            </w:tcBorders>
            <w:shd w:val="clear" w:color="auto" w:fill="auto"/>
            <w:vAlign w:val="center"/>
          </w:tcPr>
          <w:p w14:paraId="4DA5A546">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总体目标</w:t>
            </w:r>
          </w:p>
        </w:tc>
        <w:tc>
          <w:tcPr>
            <w:tcW w:w="0" w:type="auto"/>
            <w:gridSpan w:val="3"/>
            <w:tcBorders>
              <w:top w:val="nil"/>
              <w:left w:val="single" w:color="000000" w:sz="8" w:space="0"/>
              <w:bottom w:val="single" w:color="000000" w:sz="8" w:space="0"/>
              <w:right w:val="single" w:color="000000" w:sz="8" w:space="0"/>
            </w:tcBorders>
            <w:shd w:val="clear" w:color="auto" w:fill="auto"/>
            <w:vAlign w:val="center"/>
          </w:tcPr>
          <w:p w14:paraId="22838B64">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全年实际完成情况</w:t>
            </w:r>
          </w:p>
        </w:tc>
      </w:tr>
      <w:tr w14:paraId="1975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51F30B84">
            <w:pPr>
              <w:jc w:val="center"/>
              <w:rPr>
                <w:rFonts w:hint="eastAsia" w:ascii="Arial Unicode MS" w:hAnsi="Arial Unicode MS" w:eastAsia="Arial Unicode MS" w:cs="Arial Unicode MS"/>
                <w:i w:val="0"/>
                <w:iCs w:val="0"/>
                <w:color w:val="000000"/>
                <w:sz w:val="16"/>
                <w:szCs w:val="16"/>
                <w:u w:val="none"/>
              </w:rPr>
            </w:pPr>
          </w:p>
        </w:tc>
        <w:tc>
          <w:tcPr>
            <w:tcW w:w="0" w:type="auto"/>
            <w:gridSpan w:val="4"/>
            <w:tcBorders>
              <w:top w:val="nil"/>
              <w:left w:val="single" w:color="000000" w:sz="8" w:space="0"/>
              <w:bottom w:val="single" w:color="000000" w:sz="8" w:space="0"/>
              <w:right w:val="single" w:color="000000" w:sz="8" w:space="0"/>
            </w:tcBorders>
            <w:shd w:val="clear" w:color="auto" w:fill="auto"/>
            <w:vAlign w:val="center"/>
          </w:tcPr>
          <w:p w14:paraId="67838B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2023年度财政投入5万元资金，用于我单位购买航道标志产品，有效保障了水上交通出行安全及防汛抢险应急救援工作顺利开展。</w:t>
            </w:r>
          </w:p>
        </w:tc>
        <w:tc>
          <w:tcPr>
            <w:tcW w:w="0" w:type="auto"/>
            <w:gridSpan w:val="3"/>
            <w:tcBorders>
              <w:top w:val="nil"/>
              <w:left w:val="single" w:color="000000" w:sz="8" w:space="0"/>
              <w:bottom w:val="single" w:color="000000" w:sz="8" w:space="0"/>
              <w:right w:val="single" w:color="000000" w:sz="8" w:space="0"/>
            </w:tcBorders>
            <w:shd w:val="clear" w:color="auto" w:fill="auto"/>
            <w:vAlign w:val="center"/>
          </w:tcPr>
          <w:p w14:paraId="63B06D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2023年度财政投入3.27万元资金，用于我单位购买航道标志产品，有效保障了水上交通出行安全及防汛抢险应急救援工作顺利开展。</w:t>
            </w:r>
          </w:p>
        </w:tc>
      </w:tr>
      <w:tr w14:paraId="60DA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150FC9E7">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绩效指标</w:t>
            </w:r>
          </w:p>
        </w:tc>
        <w:tc>
          <w:tcPr>
            <w:tcW w:w="0" w:type="auto"/>
            <w:tcBorders>
              <w:top w:val="nil"/>
              <w:left w:val="single" w:color="000000" w:sz="8" w:space="0"/>
              <w:bottom w:val="nil"/>
              <w:right w:val="single" w:color="000000" w:sz="8" w:space="0"/>
            </w:tcBorders>
            <w:shd w:val="clear" w:color="auto" w:fill="auto"/>
            <w:vAlign w:val="center"/>
          </w:tcPr>
          <w:p w14:paraId="2EE4AC46">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一级</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2F737D78">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二级指标</w:t>
            </w:r>
          </w:p>
        </w:tc>
        <w:tc>
          <w:tcPr>
            <w:tcW w:w="0" w:type="auto"/>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3A9E097">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三级指标</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B170740">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指标值</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208C676">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全年实际完成值</w:t>
            </w:r>
          </w:p>
        </w:tc>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1A491DD">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未完成原因和改进措施</w:t>
            </w:r>
          </w:p>
        </w:tc>
      </w:tr>
      <w:tr w14:paraId="6CCC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A059E02">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noWrap/>
            <w:vAlign w:val="center"/>
          </w:tcPr>
          <w:p w14:paraId="157465DD">
            <w:pPr>
              <w:rPr>
                <w:rFonts w:hint="eastAsia" w:ascii="宋体" w:hAnsi="宋体" w:eastAsia="宋体" w:cs="宋体"/>
                <w:i w:val="0"/>
                <w:iCs w:val="0"/>
                <w:color w:val="000000"/>
                <w:sz w:val="22"/>
                <w:szCs w:val="22"/>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6D34AB1">
            <w:pPr>
              <w:jc w:val="center"/>
              <w:rPr>
                <w:rFonts w:hint="eastAsia" w:ascii="Arial Unicode MS" w:hAnsi="Arial Unicode MS" w:eastAsia="Arial Unicode MS" w:cs="Arial Unicode MS"/>
                <w:i w:val="0"/>
                <w:iCs w:val="0"/>
                <w:color w:val="000000"/>
                <w:sz w:val="16"/>
                <w:szCs w:val="16"/>
                <w:u w:val="none"/>
              </w:rPr>
            </w:pPr>
          </w:p>
        </w:tc>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78FD371">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C662DBF">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7D15438">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AD43FAA">
            <w:pPr>
              <w:jc w:val="center"/>
              <w:rPr>
                <w:rFonts w:hint="eastAsia" w:ascii="Arial Unicode MS" w:hAnsi="Arial Unicode MS" w:eastAsia="Arial Unicode MS" w:cs="Arial Unicode MS"/>
                <w:i w:val="0"/>
                <w:iCs w:val="0"/>
                <w:color w:val="000000"/>
                <w:sz w:val="16"/>
                <w:szCs w:val="16"/>
                <w:u w:val="none"/>
              </w:rPr>
            </w:pPr>
          </w:p>
        </w:tc>
      </w:tr>
      <w:tr w14:paraId="60F10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03898BE">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CAB8578">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指标</w:t>
            </w: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F607BBA">
            <w:pPr>
              <w:jc w:val="center"/>
              <w:rPr>
                <w:rFonts w:hint="eastAsia" w:ascii="Arial Unicode MS" w:hAnsi="Arial Unicode MS" w:eastAsia="Arial Unicode MS" w:cs="Arial Unicode MS"/>
                <w:i w:val="0"/>
                <w:iCs w:val="0"/>
                <w:color w:val="000000"/>
                <w:sz w:val="16"/>
                <w:szCs w:val="16"/>
                <w:u w:val="none"/>
              </w:rPr>
            </w:pPr>
          </w:p>
        </w:tc>
        <w:tc>
          <w:tcPr>
            <w:tcW w:w="0" w:type="auto"/>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1D62A07">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3DF741">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2313C12">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B862145">
            <w:pPr>
              <w:jc w:val="center"/>
              <w:rPr>
                <w:rFonts w:hint="eastAsia" w:ascii="Arial Unicode MS" w:hAnsi="Arial Unicode MS" w:eastAsia="Arial Unicode MS" w:cs="Arial Unicode MS"/>
                <w:i w:val="0"/>
                <w:iCs w:val="0"/>
                <w:color w:val="000000"/>
                <w:sz w:val="16"/>
                <w:szCs w:val="16"/>
                <w:u w:val="none"/>
              </w:rPr>
            </w:pPr>
          </w:p>
        </w:tc>
      </w:tr>
      <w:tr w14:paraId="2736E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660E3E3">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vAlign w:val="center"/>
          </w:tcPr>
          <w:p w14:paraId="0152F18F">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产</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E71F1BA">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数量指标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734002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购买航道标志数量点位</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39966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≥25处</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4A056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≥25处</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D6841A7">
            <w:pPr>
              <w:jc w:val="center"/>
              <w:rPr>
                <w:rFonts w:hint="eastAsia" w:ascii="宋体" w:hAnsi="宋体" w:eastAsia="宋体" w:cs="宋体"/>
                <w:i w:val="0"/>
                <w:iCs w:val="0"/>
                <w:color w:val="000000"/>
                <w:sz w:val="16"/>
                <w:szCs w:val="16"/>
                <w:u w:val="none"/>
              </w:rPr>
            </w:pPr>
          </w:p>
        </w:tc>
      </w:tr>
      <w:tr w14:paraId="1BC46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D12CDF6">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vAlign w:val="center"/>
          </w:tcPr>
          <w:p w14:paraId="7D064EB7">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出</w:t>
            </w:r>
          </w:p>
        </w:tc>
        <w:tc>
          <w:tcPr>
            <w:tcW w:w="0" w:type="auto"/>
            <w:vMerge w:val="restart"/>
            <w:tcBorders>
              <w:top w:val="nil"/>
              <w:left w:val="single" w:color="000000" w:sz="8" w:space="0"/>
              <w:bottom w:val="single" w:color="000000" w:sz="8" w:space="0"/>
              <w:right w:val="single" w:color="000000" w:sz="8" w:space="0"/>
            </w:tcBorders>
            <w:shd w:val="clear" w:color="auto" w:fill="auto"/>
            <w:vAlign w:val="center"/>
          </w:tcPr>
          <w:p w14:paraId="21891E5C">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质量指标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1C24D0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方向识别度</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C9756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D5D21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4BDA834">
            <w:pPr>
              <w:jc w:val="center"/>
              <w:rPr>
                <w:rFonts w:hint="eastAsia" w:ascii="宋体" w:hAnsi="宋体" w:eastAsia="宋体" w:cs="宋体"/>
                <w:i w:val="0"/>
                <w:iCs w:val="0"/>
                <w:color w:val="000000"/>
                <w:sz w:val="16"/>
                <w:szCs w:val="16"/>
                <w:u w:val="none"/>
              </w:rPr>
            </w:pPr>
          </w:p>
        </w:tc>
      </w:tr>
      <w:tr w14:paraId="2086F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3B3B080">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vAlign w:val="center"/>
          </w:tcPr>
          <w:p w14:paraId="352551B7">
            <w:pPr>
              <w:jc w:val="center"/>
              <w:rPr>
                <w:rFonts w:hint="eastAsia" w:ascii="Arial Unicode MS" w:hAnsi="Arial Unicode MS" w:eastAsia="Arial Unicode MS" w:cs="Arial Unicode MS"/>
                <w:i w:val="0"/>
                <w:iCs w:val="0"/>
                <w:color w:val="000000"/>
                <w:sz w:val="16"/>
                <w:szCs w:val="16"/>
                <w:u w:val="none"/>
              </w:rPr>
            </w:pPr>
          </w:p>
        </w:tc>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6A432C18">
            <w:pPr>
              <w:jc w:val="center"/>
              <w:rPr>
                <w:rFonts w:hint="eastAsia" w:ascii="Arial Unicode MS" w:hAnsi="Arial Unicode MS" w:eastAsia="Arial Unicode MS" w:cs="Arial Unicode MS"/>
                <w:i w:val="0"/>
                <w:iCs w:val="0"/>
                <w:color w:val="000000"/>
                <w:sz w:val="16"/>
                <w:szCs w:val="16"/>
                <w:u w:val="none"/>
              </w:rPr>
            </w:pP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37090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航道标志清晰度</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B6446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80850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2E298C5">
            <w:pPr>
              <w:jc w:val="center"/>
              <w:rPr>
                <w:rFonts w:hint="eastAsia" w:ascii="宋体" w:hAnsi="宋体" w:eastAsia="宋体" w:cs="宋体"/>
                <w:i w:val="0"/>
                <w:iCs w:val="0"/>
                <w:color w:val="000000"/>
                <w:sz w:val="16"/>
                <w:szCs w:val="16"/>
                <w:u w:val="none"/>
              </w:rPr>
            </w:pPr>
          </w:p>
        </w:tc>
      </w:tr>
      <w:tr w14:paraId="4236B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3BCCFC8A">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vAlign w:val="center"/>
          </w:tcPr>
          <w:p w14:paraId="673F08E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E1AB8B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时效指标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17381E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按期完成时间</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1F6FF7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1年</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6F244C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1年</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3537AB9">
            <w:pPr>
              <w:jc w:val="center"/>
              <w:rPr>
                <w:rFonts w:hint="eastAsia" w:ascii="宋体" w:hAnsi="宋体" w:eastAsia="宋体" w:cs="宋体"/>
                <w:i w:val="0"/>
                <w:iCs w:val="0"/>
                <w:color w:val="000000"/>
                <w:sz w:val="16"/>
                <w:szCs w:val="16"/>
                <w:u w:val="none"/>
              </w:rPr>
            </w:pPr>
          </w:p>
        </w:tc>
      </w:tr>
      <w:tr w14:paraId="7A203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2186DB6E">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vAlign w:val="center"/>
          </w:tcPr>
          <w:p w14:paraId="569C5BAD">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标</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6DB910D">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成本指标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73967B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购买航道标志成本每处</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09E9B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≤2000元</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23821B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≤1308元</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8E1148E">
            <w:pPr>
              <w:jc w:val="center"/>
              <w:rPr>
                <w:rFonts w:hint="eastAsia" w:ascii="宋体" w:hAnsi="宋体" w:eastAsia="宋体" w:cs="宋体"/>
                <w:i w:val="0"/>
                <w:iCs w:val="0"/>
                <w:color w:val="000000"/>
                <w:sz w:val="16"/>
                <w:szCs w:val="16"/>
                <w:u w:val="none"/>
              </w:rPr>
            </w:pPr>
          </w:p>
        </w:tc>
      </w:tr>
      <w:tr w14:paraId="749D8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7E6E497F">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noWrap/>
            <w:vAlign w:val="center"/>
          </w:tcPr>
          <w:p w14:paraId="7F9092EC">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5B0ABFEB">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可持续影响指标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547694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水上交通安全出行</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8BCB0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5B8D16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10D852B">
            <w:pPr>
              <w:jc w:val="center"/>
              <w:rPr>
                <w:rFonts w:hint="eastAsia" w:ascii="宋体" w:hAnsi="宋体" w:eastAsia="宋体" w:cs="宋体"/>
                <w:i w:val="0"/>
                <w:iCs w:val="0"/>
                <w:color w:val="000000"/>
                <w:sz w:val="16"/>
                <w:szCs w:val="16"/>
                <w:u w:val="none"/>
              </w:rPr>
            </w:pPr>
          </w:p>
        </w:tc>
      </w:tr>
      <w:tr w14:paraId="65423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2482E6B">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nil"/>
              <w:right w:val="single" w:color="000000" w:sz="8" w:space="0"/>
            </w:tcBorders>
            <w:shd w:val="clear" w:color="auto" w:fill="auto"/>
            <w:noWrap/>
            <w:vAlign w:val="center"/>
          </w:tcPr>
          <w:p w14:paraId="02A08A63">
            <w:pPr>
              <w:rPr>
                <w:rFonts w:hint="eastAsia" w:ascii="宋体" w:hAnsi="宋体" w:eastAsia="宋体" w:cs="宋体"/>
                <w:i w:val="0"/>
                <w:iCs w:val="0"/>
                <w:color w:val="000000"/>
                <w:sz w:val="22"/>
                <w:szCs w:val="22"/>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09CB99AD">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社会效益</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73FA4D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水上交通安全及防汛抢险应急救援</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D2C11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70DA830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6A503090">
            <w:pPr>
              <w:jc w:val="center"/>
              <w:rPr>
                <w:rFonts w:hint="eastAsia" w:ascii="宋体" w:hAnsi="宋体" w:eastAsia="宋体" w:cs="宋体"/>
                <w:i w:val="0"/>
                <w:iCs w:val="0"/>
                <w:color w:val="000000"/>
                <w:sz w:val="16"/>
                <w:szCs w:val="16"/>
                <w:u w:val="none"/>
              </w:rPr>
            </w:pPr>
          </w:p>
        </w:tc>
      </w:tr>
      <w:tr w14:paraId="5A259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vMerge w:val="continue"/>
            <w:tcBorders>
              <w:top w:val="nil"/>
              <w:left w:val="single" w:color="000000" w:sz="8" w:space="0"/>
              <w:bottom w:val="single" w:color="000000" w:sz="8" w:space="0"/>
              <w:right w:val="single" w:color="000000" w:sz="8" w:space="0"/>
            </w:tcBorders>
            <w:shd w:val="clear" w:color="auto" w:fill="auto"/>
            <w:vAlign w:val="center"/>
          </w:tcPr>
          <w:p w14:paraId="08DEAB2E">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1C0737C3">
            <w:pPr>
              <w:jc w:val="center"/>
              <w:rPr>
                <w:rFonts w:hint="eastAsia" w:ascii="Arial Unicode MS" w:hAnsi="Arial Unicode MS" w:eastAsia="Arial Unicode MS" w:cs="Arial Unicode MS"/>
                <w:i w:val="0"/>
                <w:iCs w:val="0"/>
                <w:color w:val="000000"/>
                <w:sz w:val="16"/>
                <w:szCs w:val="16"/>
                <w:u w:val="none"/>
              </w:rPr>
            </w:pPr>
          </w:p>
        </w:tc>
        <w:tc>
          <w:tcPr>
            <w:tcW w:w="0" w:type="auto"/>
            <w:tcBorders>
              <w:top w:val="nil"/>
              <w:left w:val="single" w:color="000000" w:sz="8" w:space="0"/>
              <w:bottom w:val="single" w:color="000000" w:sz="8" w:space="0"/>
              <w:right w:val="single" w:color="000000" w:sz="8" w:space="0"/>
            </w:tcBorders>
            <w:shd w:val="clear" w:color="auto" w:fill="auto"/>
            <w:vAlign w:val="center"/>
          </w:tcPr>
          <w:p w14:paraId="4CB07FDC">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满意度指标</w:t>
            </w:r>
          </w:p>
        </w:tc>
        <w:tc>
          <w:tcPr>
            <w:tcW w:w="0" w:type="auto"/>
            <w:gridSpan w:val="2"/>
            <w:tcBorders>
              <w:top w:val="nil"/>
              <w:left w:val="single" w:color="000000" w:sz="8" w:space="0"/>
              <w:bottom w:val="single" w:color="000000" w:sz="8" w:space="0"/>
              <w:right w:val="single" w:color="000000" w:sz="8" w:space="0"/>
            </w:tcBorders>
            <w:shd w:val="clear" w:color="auto" w:fill="auto"/>
            <w:vAlign w:val="center"/>
          </w:tcPr>
          <w:p w14:paraId="097370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航道受益人满意度</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47E3D2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10EAFAF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≥90%</w:t>
            </w:r>
          </w:p>
        </w:tc>
        <w:tc>
          <w:tcPr>
            <w:tcW w:w="0" w:type="auto"/>
            <w:tcBorders>
              <w:top w:val="nil"/>
              <w:left w:val="single" w:color="000000" w:sz="8" w:space="0"/>
              <w:bottom w:val="single" w:color="000000" w:sz="8" w:space="0"/>
              <w:right w:val="single" w:color="000000" w:sz="8" w:space="0"/>
            </w:tcBorders>
            <w:shd w:val="clear" w:color="auto" w:fill="auto"/>
            <w:vAlign w:val="center"/>
          </w:tcPr>
          <w:p w14:paraId="02794904">
            <w:pPr>
              <w:jc w:val="center"/>
              <w:rPr>
                <w:rFonts w:hint="eastAsia" w:ascii="宋体" w:hAnsi="宋体" w:eastAsia="宋体" w:cs="宋体"/>
                <w:i w:val="0"/>
                <w:iCs w:val="0"/>
                <w:color w:val="000000"/>
                <w:sz w:val="16"/>
                <w:szCs w:val="16"/>
                <w:u w:val="none"/>
              </w:rPr>
            </w:pPr>
          </w:p>
        </w:tc>
      </w:tr>
      <w:tr w14:paraId="694C5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0" w:type="auto"/>
            <w:tcBorders>
              <w:top w:val="nil"/>
              <w:left w:val="single" w:color="000000" w:sz="8" w:space="0"/>
              <w:bottom w:val="single" w:color="000000" w:sz="8" w:space="0"/>
              <w:right w:val="single" w:color="000000" w:sz="8" w:space="0"/>
            </w:tcBorders>
            <w:shd w:val="clear" w:color="auto" w:fill="auto"/>
            <w:vAlign w:val="center"/>
          </w:tcPr>
          <w:p w14:paraId="0C2138B3">
            <w:pPr>
              <w:keepNext w:val="0"/>
              <w:keepLines w:val="0"/>
              <w:widowControl/>
              <w:suppressLineNumbers w:val="0"/>
              <w:jc w:val="center"/>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说明</w:t>
            </w:r>
          </w:p>
        </w:tc>
        <w:tc>
          <w:tcPr>
            <w:tcW w:w="0" w:type="auto"/>
            <w:gridSpan w:val="7"/>
            <w:tcBorders>
              <w:top w:val="nil"/>
              <w:left w:val="single" w:color="000000" w:sz="8" w:space="0"/>
              <w:bottom w:val="single" w:color="000000" w:sz="8" w:space="0"/>
              <w:right w:val="single" w:color="000000" w:sz="8" w:space="0"/>
            </w:tcBorders>
            <w:shd w:val="clear" w:color="auto" w:fill="auto"/>
            <w:vAlign w:val="center"/>
          </w:tcPr>
          <w:p w14:paraId="383BBAD6">
            <w:pPr>
              <w:keepNext w:val="0"/>
              <w:keepLines w:val="0"/>
              <w:widowControl/>
              <w:suppressLineNumbers w:val="0"/>
              <w:jc w:val="left"/>
              <w:textAlignment w:val="center"/>
              <w:rPr>
                <w:rFonts w:hint="eastAsia"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请在此处简要说明各级巡视（巡察）、各级审计和财政监督中发现的问题及其所涉及的金额，如没有请填无。</w:t>
            </w:r>
          </w:p>
        </w:tc>
      </w:tr>
    </w:tbl>
    <w:p w14:paraId="3F6F86B2">
      <w:pPr>
        <w:rPr>
          <w:rFonts w:hint="eastAsia"/>
        </w:rPr>
      </w:pPr>
      <w:r>
        <w:rPr>
          <w:rFonts w:hint="eastAsia"/>
        </w:rPr>
        <w:br w:type="page"/>
      </w:r>
    </w:p>
    <w:p w14:paraId="3A626189">
      <w:pPr>
        <w:pStyle w:val="14"/>
        <w:spacing w:beforeAutospacing="0" w:after="0" w:afterAutospacing="0" w:line="160" w:lineRule="atLeast"/>
        <w:ind w:left="0" w:firstLine="10"/>
        <w:jc w:val="center"/>
        <w:rPr>
          <w:rFonts w:ascii="Arial Unicode MS" w:eastAsia="Arial Unicode MS"/>
          <w:sz w:val="36"/>
          <w:szCs w:val="36"/>
        </w:rPr>
      </w:pPr>
      <w:r>
        <w:rPr>
          <w:rFonts w:ascii="Arial Unicode MS" w:eastAsia="Arial Unicode MS"/>
          <w:sz w:val="36"/>
          <w:szCs w:val="36"/>
        </w:rPr>
        <w:t>射洪市交通运输局道路运输管理所</w:t>
      </w:r>
    </w:p>
    <w:p w14:paraId="570DCBAF">
      <w:pPr>
        <w:pStyle w:val="14"/>
        <w:spacing w:beforeAutospacing="0" w:after="0" w:afterAutospacing="0" w:line="160" w:lineRule="atLeast"/>
        <w:ind w:left="0" w:firstLine="10"/>
        <w:jc w:val="center"/>
        <w:rPr>
          <w:rFonts w:hint="eastAsia" w:ascii="Arial Unicode MS" w:eastAsia="Arial Unicode MS"/>
          <w:sz w:val="36"/>
          <w:szCs w:val="36"/>
        </w:rPr>
      </w:pPr>
      <w:r>
        <w:rPr>
          <w:rFonts w:hint="eastAsia" w:ascii="Arial Unicode MS" w:eastAsia="Arial Unicode MS"/>
          <w:sz w:val="36"/>
          <w:szCs w:val="36"/>
        </w:rPr>
        <w:t>2023年度</w:t>
      </w:r>
      <w:r>
        <w:rPr>
          <w:rFonts w:ascii="Arial Unicode MS" w:eastAsia="Arial Unicode MS"/>
          <w:sz w:val="36"/>
          <w:szCs w:val="36"/>
        </w:rPr>
        <w:t>农村客运保险补贴项</w:t>
      </w:r>
      <w:r>
        <w:rPr>
          <w:rFonts w:hint="eastAsia" w:ascii="Arial Unicode MS" w:eastAsia="Arial Unicode MS"/>
          <w:sz w:val="36"/>
          <w:szCs w:val="36"/>
        </w:rPr>
        <w:t>目支出</w:t>
      </w:r>
    </w:p>
    <w:p w14:paraId="579CEEFB">
      <w:pPr>
        <w:pStyle w:val="14"/>
        <w:spacing w:beforeAutospacing="0" w:after="0" w:afterAutospacing="0" w:line="160" w:lineRule="atLeast"/>
        <w:ind w:left="0" w:hanging="4"/>
        <w:jc w:val="center"/>
        <w:rPr>
          <w:rFonts w:ascii="Arial Unicode MS" w:eastAsia="Arial Unicode MS"/>
          <w:sz w:val="36"/>
          <w:szCs w:val="36"/>
        </w:rPr>
      </w:pPr>
      <w:r>
        <w:rPr>
          <w:rFonts w:hint="eastAsia" w:ascii="Arial Unicode MS" w:eastAsia="Arial Unicode MS"/>
          <w:sz w:val="36"/>
          <w:szCs w:val="36"/>
        </w:rPr>
        <w:t>绩效自评报告</w:t>
      </w:r>
    </w:p>
    <w:p w14:paraId="4C85F842">
      <w:pPr>
        <w:pStyle w:val="14"/>
        <w:spacing w:beforeAutospacing="0" w:after="0" w:afterAutospacing="0" w:line="160" w:lineRule="atLeast"/>
        <w:ind w:left="0" w:hanging="4"/>
        <w:jc w:val="center"/>
        <w:rPr>
          <w:rFonts w:hint="eastAsia" w:ascii="Arial Unicode MS" w:eastAsia="Arial Unicode MS"/>
          <w:sz w:val="28"/>
          <w:szCs w:val="28"/>
        </w:rPr>
      </w:pPr>
    </w:p>
    <w:p w14:paraId="4A7BBFEC">
      <w:pPr>
        <w:spacing w:after="0" w:line="360" w:lineRule="auto"/>
        <w:ind w:firstLine="643" w:firstLineChars="200"/>
        <w:outlineLvl w:val="1"/>
        <w:rPr>
          <w:rFonts w:hint="eastAsia" w:ascii="黑体" w:eastAsia="黑体"/>
          <w:b/>
          <w:bCs/>
          <w:sz w:val="32"/>
          <w:szCs w:val="32"/>
        </w:rPr>
      </w:pPr>
      <w:bookmarkStart w:id="158" w:name="_Toc7629"/>
      <w:bookmarkStart w:id="159" w:name="_Toc29702"/>
      <w:r>
        <w:rPr>
          <w:rFonts w:hint="eastAsia" w:ascii="黑体" w:eastAsia="黑体"/>
          <w:b/>
          <w:bCs/>
          <w:sz w:val="32"/>
          <w:szCs w:val="32"/>
        </w:rPr>
        <w:t>一、项目概况</w:t>
      </w:r>
      <w:bookmarkEnd w:id="158"/>
      <w:bookmarkEnd w:id="159"/>
    </w:p>
    <w:p w14:paraId="59B7429F">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（一）项目基本情况</w:t>
      </w:r>
    </w:p>
    <w:p w14:paraId="4F166AA3">
      <w:pPr>
        <w:pStyle w:val="14"/>
        <w:numPr>
          <w:ilvl w:val="0"/>
          <w:numId w:val="7"/>
        </w:numPr>
        <w:spacing w:beforeAutospacing="0" w:after="0" w:afterAutospacing="0" w:line="360" w:lineRule="auto"/>
        <w:ind w:left="998" w:hanging="357"/>
        <w:rPr>
          <w:rFonts w:ascii="仿宋" w:eastAsia="仿宋"/>
          <w:sz w:val="32"/>
          <w:szCs w:val="32"/>
        </w:rPr>
      </w:pPr>
      <w:r>
        <w:rPr>
          <w:rFonts w:hint="eastAsia" w:ascii="仿宋" w:eastAsia="仿宋"/>
          <w:sz w:val="32"/>
          <w:szCs w:val="32"/>
        </w:rPr>
        <w:t>项目主管部门在该项目管理中的职能。</w:t>
      </w:r>
    </w:p>
    <w:p w14:paraId="316A7E5A">
      <w:pPr>
        <w:spacing w:after="0" w:line="360" w:lineRule="auto"/>
        <w:ind w:firstLine="607"/>
        <w:jc w:val="both"/>
        <w:rPr>
          <w:rFonts w:hint="eastAsia" w:ascii="仿宋" w:eastAsia="仿宋"/>
          <w:sz w:val="32"/>
          <w:szCs w:val="32"/>
        </w:rPr>
      </w:pPr>
      <w:r>
        <w:rPr>
          <w:rFonts w:hint="eastAsia" w:ascii="仿宋_GB2312" w:eastAsia="仿宋_GB2312" w:cs="仿宋_GB2312"/>
          <w:sz w:val="32"/>
          <w:szCs w:val="32"/>
          <w:lang w:bidi="ar-SA"/>
        </w:rPr>
        <w:t>射洪市交通运输局道路运输管理所，主要负责国家及上级有关道路运输政策法规贯彻落实，指导协调监督服务道路运输业可持续健康发展。</w:t>
      </w:r>
      <w:r>
        <w:rPr>
          <w:rFonts w:ascii="仿宋_GB2312" w:eastAsia="仿宋_GB2312" w:cs="仿宋_GB2312"/>
          <w:sz w:val="32"/>
          <w:szCs w:val="32"/>
          <w:lang w:bidi="ar-SA"/>
        </w:rPr>
        <w:t>一是</w:t>
      </w:r>
      <w:r>
        <w:rPr>
          <w:rFonts w:hint="eastAsia" w:ascii="仿宋_GB2312" w:eastAsia="仿宋_GB2312" w:cs="仿宋_GB2312"/>
          <w:sz w:val="32"/>
          <w:szCs w:val="32"/>
          <w:lang w:bidi="ar-SA"/>
        </w:rPr>
        <w:t>开展道路、客运、货运、运输服务、装卸搬运、机动车维修检测。</w:t>
      </w:r>
      <w:r>
        <w:rPr>
          <w:rFonts w:ascii="仿宋_GB2312" w:eastAsia="仿宋_GB2312" w:cs="仿宋_GB2312"/>
          <w:sz w:val="32"/>
          <w:szCs w:val="32"/>
          <w:lang w:bidi="ar-SA"/>
        </w:rPr>
        <w:t>二是</w:t>
      </w:r>
      <w:r>
        <w:rPr>
          <w:rFonts w:hint="eastAsia" w:ascii="仿宋_GB2312" w:eastAsia="仿宋_GB2312" w:cs="仿宋_GB2312"/>
          <w:sz w:val="32"/>
          <w:szCs w:val="32"/>
          <w:lang w:bidi="ar-SA"/>
        </w:rPr>
        <w:t>机动车驾驶员培训业的行业管理工作。</w:t>
      </w:r>
      <w:r>
        <w:rPr>
          <w:rFonts w:ascii="仿宋_GB2312" w:eastAsia="仿宋_GB2312" w:cs="仿宋_GB2312"/>
          <w:sz w:val="32"/>
          <w:szCs w:val="32"/>
          <w:lang w:bidi="ar-SA"/>
        </w:rPr>
        <w:t>三是</w:t>
      </w:r>
      <w:r>
        <w:rPr>
          <w:rFonts w:hint="eastAsia" w:ascii="仿宋_GB2312" w:eastAsia="仿宋_GB2312" w:cs="仿宋_GB2312"/>
          <w:sz w:val="32"/>
          <w:szCs w:val="32"/>
          <w:lang w:bidi="ar-SA"/>
        </w:rPr>
        <w:t>根据管理权限审批道路货物运输、运输服务、驾驶员培训业户的开户停业及年度审验，核发许可证，道路运输证。</w:t>
      </w:r>
      <w:r>
        <w:rPr>
          <w:rFonts w:ascii="仿宋_GB2312" w:eastAsia="仿宋_GB2312" w:cs="仿宋_GB2312"/>
          <w:sz w:val="32"/>
          <w:szCs w:val="32"/>
          <w:lang w:bidi="ar-SA"/>
        </w:rPr>
        <w:t>四是</w:t>
      </w:r>
      <w:r>
        <w:rPr>
          <w:rFonts w:hint="eastAsia" w:ascii="仿宋_GB2312" w:eastAsia="仿宋_GB2312" w:cs="仿宋_GB2312"/>
          <w:sz w:val="32"/>
          <w:szCs w:val="32"/>
          <w:lang w:bidi="ar-SA"/>
        </w:rPr>
        <w:t>负责城市公共交通发展规划，出租汽车市场监管，规范出租汽车经营行为。</w:t>
      </w:r>
    </w:p>
    <w:p w14:paraId="40D654D1">
      <w:pPr>
        <w:pStyle w:val="14"/>
        <w:spacing w:beforeAutospacing="0" w:after="0" w:afterAutospacing="0" w:line="360" w:lineRule="auto"/>
        <w:ind w:firstLine="640" w:firstLineChars="200"/>
        <w:rPr>
          <w:rFonts w:ascii="仿宋" w:eastAsia="仿宋"/>
          <w:sz w:val="32"/>
          <w:szCs w:val="32"/>
        </w:rPr>
      </w:pPr>
      <w:r>
        <w:rPr>
          <w:rFonts w:hint="eastAsia" w:ascii="仿宋" w:eastAsia="仿宋"/>
          <w:sz w:val="32"/>
          <w:szCs w:val="32"/>
        </w:rPr>
        <w:t>2.项目立项、资金申报的依据。</w:t>
      </w:r>
    </w:p>
    <w:p w14:paraId="55E9103E">
      <w:pPr>
        <w:pStyle w:val="14"/>
        <w:spacing w:beforeAutospacing="0" w:after="0" w:afterAutospacing="0" w:line="360" w:lineRule="auto"/>
        <w:ind w:firstLine="640" w:firstLineChars="200"/>
        <w:jc w:val="both"/>
        <w:rPr>
          <w:rFonts w:hint="eastAsia" w:ascii="仿宋" w:eastAsia="仿宋"/>
          <w:sz w:val="32"/>
          <w:szCs w:val="32"/>
        </w:rPr>
      </w:pPr>
      <w:r>
        <w:rPr>
          <w:rFonts w:ascii="仿宋" w:eastAsia="仿宋"/>
          <w:sz w:val="32"/>
          <w:szCs w:val="32"/>
        </w:rPr>
        <w:t>根据四川省人民政府《关于进一步促进四川省农村公</w:t>
      </w:r>
      <w:r>
        <w:rPr>
          <w:rFonts w:hint="eastAsia" w:ascii="仿宋" w:eastAsia="仿宋"/>
          <w:sz w:val="32"/>
          <w:szCs w:val="32"/>
          <w:lang w:eastAsia="zh-CN"/>
        </w:rPr>
        <w:t>路</w:t>
      </w:r>
      <w:r>
        <w:rPr>
          <w:rFonts w:ascii="仿宋" w:eastAsia="仿宋"/>
          <w:sz w:val="32"/>
          <w:szCs w:val="32"/>
        </w:rPr>
        <w:t>建管养运协调发展的意见》川府发〔2015〕5号，四川省人民政府《关于进一步加强道路交通安全工作的实施意见》川府发〔2013〕8号，积极发展农村客运。严格落实财政对农村客运车辆按照不低于其保险费金额70%予以补贴。</w:t>
      </w:r>
    </w:p>
    <w:p w14:paraId="2C0D2357">
      <w:pPr>
        <w:pStyle w:val="14"/>
        <w:spacing w:beforeAutospacing="0" w:after="0" w:afterAutospacing="0" w:line="360" w:lineRule="auto"/>
        <w:ind w:left="0" w:firstLine="640"/>
        <w:rPr>
          <w:rFonts w:ascii="仿宋" w:eastAsia="仿宋"/>
          <w:sz w:val="32"/>
          <w:szCs w:val="32"/>
        </w:rPr>
      </w:pPr>
      <w:r>
        <w:rPr>
          <w:rFonts w:hint="eastAsia" w:ascii="仿宋" w:eastAsia="仿宋"/>
          <w:sz w:val="32"/>
          <w:szCs w:val="32"/>
        </w:rPr>
        <w:t>3.资金管理办法制定情况，资金支持具体项目的条件、范围与支持方式概况。</w:t>
      </w:r>
    </w:p>
    <w:p w14:paraId="0160AEC4">
      <w:pPr>
        <w:pStyle w:val="28"/>
        <w:widowControl w:val="0"/>
        <w:spacing w:after="0" w:line="360" w:lineRule="auto"/>
        <w:ind w:firstLine="640" w:firstLineChars="0"/>
        <w:jc w:val="both"/>
        <w:rPr>
          <w:rFonts w:ascii="仿宋" w:eastAsia="仿宋" w:cs="楷体"/>
          <w:sz w:val="32"/>
          <w:szCs w:val="32"/>
          <w:highlight w:val="cyan"/>
        </w:rPr>
      </w:pPr>
      <w:r>
        <w:rPr>
          <w:rFonts w:ascii="仿宋" w:eastAsia="仿宋"/>
          <w:color w:val="333333"/>
          <w:sz w:val="32"/>
          <w:szCs w:val="32"/>
          <w:shd w:val="clear" w:color="auto" w:fill="FFFFFF"/>
        </w:rPr>
        <w:t>首先是</w:t>
      </w:r>
      <w:r>
        <w:rPr>
          <w:rFonts w:hint="eastAsia" w:ascii="仿宋" w:eastAsia="仿宋"/>
          <w:color w:val="333333"/>
          <w:sz w:val="32"/>
          <w:szCs w:val="32"/>
          <w:shd w:val="clear" w:color="auto" w:fill="FFFFFF"/>
        </w:rPr>
        <w:t>摸清我市享受农村客运车辆保险</w:t>
      </w:r>
      <w:r>
        <w:rPr>
          <w:rFonts w:ascii="仿宋" w:eastAsia="仿宋"/>
          <w:color w:val="333333"/>
          <w:sz w:val="32"/>
          <w:szCs w:val="32"/>
          <w:shd w:val="clear" w:color="auto" w:fill="FFFFFF"/>
        </w:rPr>
        <w:t>补贴</w:t>
      </w:r>
      <w:r>
        <w:rPr>
          <w:rFonts w:hint="eastAsia" w:ascii="仿宋" w:eastAsia="仿宋"/>
          <w:color w:val="333333"/>
          <w:sz w:val="32"/>
          <w:szCs w:val="32"/>
          <w:shd w:val="clear" w:color="auto" w:fill="FFFFFF"/>
        </w:rPr>
        <w:t>的客运车辆</w:t>
      </w:r>
      <w:r>
        <w:rPr>
          <w:rFonts w:ascii="仿宋" w:eastAsia="仿宋"/>
          <w:color w:val="333333"/>
          <w:sz w:val="32"/>
          <w:szCs w:val="32"/>
          <w:shd w:val="clear" w:color="auto" w:fill="FFFFFF"/>
        </w:rPr>
        <w:t>信息；其次是</w:t>
      </w:r>
      <w:r>
        <w:rPr>
          <w:rFonts w:hint="eastAsia" w:ascii="仿宋" w:eastAsia="仿宋"/>
          <w:color w:val="333333"/>
          <w:sz w:val="32"/>
          <w:szCs w:val="32"/>
          <w:shd w:val="clear" w:color="auto" w:fill="FFFFFF"/>
        </w:rPr>
        <w:t>及时核算保险费补贴</w:t>
      </w:r>
      <w:r>
        <w:rPr>
          <w:rFonts w:ascii="仿宋" w:eastAsia="仿宋"/>
          <w:color w:val="333333"/>
          <w:sz w:val="32"/>
          <w:szCs w:val="32"/>
          <w:shd w:val="clear" w:color="auto" w:fill="FFFFFF"/>
        </w:rPr>
        <w:t>标准</w:t>
      </w:r>
      <w:r>
        <w:rPr>
          <w:rFonts w:hint="eastAsia" w:ascii="仿宋" w:eastAsia="仿宋"/>
          <w:color w:val="333333"/>
          <w:sz w:val="32"/>
          <w:szCs w:val="32"/>
          <w:shd w:val="clear" w:color="auto" w:fill="FFFFFF"/>
        </w:rPr>
        <w:t>，并进行信息公示</w:t>
      </w:r>
      <w:r>
        <w:rPr>
          <w:rFonts w:ascii="仿宋" w:eastAsia="仿宋"/>
          <w:color w:val="333333"/>
          <w:sz w:val="32"/>
          <w:szCs w:val="32"/>
          <w:shd w:val="clear" w:color="auto" w:fill="FFFFFF"/>
        </w:rPr>
        <w:t>；最后是通过一卡通系统及时足额</w:t>
      </w:r>
      <w:r>
        <w:rPr>
          <w:rFonts w:hint="eastAsia" w:ascii="仿宋" w:eastAsia="仿宋"/>
          <w:color w:val="333333"/>
          <w:sz w:val="32"/>
          <w:szCs w:val="32"/>
          <w:shd w:val="clear" w:color="auto" w:fill="FFFFFF"/>
        </w:rPr>
        <w:t>兑现补贴费用，降低</w:t>
      </w:r>
      <w:r>
        <w:rPr>
          <w:rFonts w:hint="eastAsia" w:ascii="仿宋" w:eastAsia="仿宋"/>
          <w:color w:val="333333"/>
          <w:sz w:val="32"/>
          <w:szCs w:val="32"/>
          <w:shd w:val="clear" w:color="auto" w:fill="FFFFFF"/>
          <w:lang w:eastAsia="zh-CN"/>
        </w:rPr>
        <w:t>农</w:t>
      </w:r>
      <w:r>
        <w:rPr>
          <w:rFonts w:hint="eastAsia" w:ascii="仿宋" w:eastAsia="仿宋"/>
          <w:color w:val="333333"/>
          <w:sz w:val="32"/>
          <w:szCs w:val="32"/>
          <w:shd w:val="clear" w:color="auto" w:fill="FFFFFF"/>
        </w:rPr>
        <w:t>村客运车辆运营成本。</w:t>
      </w:r>
    </w:p>
    <w:p w14:paraId="1BD593E4">
      <w:pPr>
        <w:pStyle w:val="14"/>
        <w:spacing w:beforeAutospacing="0" w:after="0" w:afterAutospacing="0" w:line="360" w:lineRule="auto"/>
        <w:ind w:firstLine="640" w:firstLineChars="200"/>
        <w:rPr>
          <w:rFonts w:hint="eastAsia" w:ascii="仿宋" w:eastAsia="仿宋"/>
          <w:sz w:val="32"/>
          <w:szCs w:val="32"/>
        </w:rPr>
      </w:pPr>
      <w:r>
        <w:rPr>
          <w:rFonts w:hint="eastAsia" w:ascii="仿宋" w:eastAsia="仿宋"/>
          <w:sz w:val="32"/>
          <w:szCs w:val="32"/>
        </w:rPr>
        <w:t>4.资金分配的原则及考虑因素。</w:t>
      </w:r>
    </w:p>
    <w:p w14:paraId="01AC4415">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（二）项目绩效目标</w:t>
      </w:r>
    </w:p>
    <w:p w14:paraId="5D52933D">
      <w:pPr>
        <w:pStyle w:val="14"/>
        <w:numPr>
          <w:ilvl w:val="0"/>
          <w:numId w:val="8"/>
        </w:numPr>
        <w:spacing w:beforeAutospacing="0" w:after="0" w:afterAutospacing="0" w:line="360" w:lineRule="auto"/>
        <w:rPr>
          <w:rFonts w:ascii="仿宋" w:eastAsia="仿宋"/>
          <w:sz w:val="32"/>
          <w:szCs w:val="32"/>
        </w:rPr>
      </w:pPr>
      <w:r>
        <w:rPr>
          <w:rFonts w:hint="eastAsia" w:ascii="仿宋" w:eastAsia="仿宋"/>
          <w:sz w:val="32"/>
          <w:szCs w:val="32"/>
        </w:rPr>
        <w:t>项目主要内容。</w:t>
      </w:r>
    </w:p>
    <w:p w14:paraId="3E6CC3BA">
      <w:pPr>
        <w:pStyle w:val="14"/>
        <w:spacing w:beforeAutospacing="0" w:after="0" w:afterAutospacing="0" w:line="360" w:lineRule="auto"/>
        <w:ind w:left="0" w:firstLine="669"/>
        <w:jc w:val="both"/>
        <w:rPr>
          <w:rFonts w:hint="eastAsia" w:ascii="仿宋" w:eastAsia="仿宋"/>
          <w:sz w:val="32"/>
          <w:szCs w:val="32"/>
        </w:rPr>
      </w:pPr>
      <w:r>
        <w:rPr>
          <w:rFonts w:ascii="仿宋" w:eastAsia="仿宋" w:cs="Arial Unicode MS"/>
          <w:color w:val="000000"/>
          <w:sz w:val="32"/>
          <w:szCs w:val="32"/>
        </w:rPr>
        <w:t>投入当年预算资金55.00万元，对全市2023年在运农村客运车辆</w:t>
      </w:r>
      <w:r>
        <w:rPr>
          <w:rFonts w:hint="eastAsia" w:ascii="仿宋" w:eastAsia="仿宋" w:cs="Arial Unicode MS"/>
          <w:color w:val="000000"/>
          <w:sz w:val="32"/>
          <w:szCs w:val="32"/>
        </w:rPr>
        <w:t>按照不低于其保险费金额</w:t>
      </w:r>
      <w:r>
        <w:rPr>
          <w:rFonts w:ascii="仿宋" w:eastAsia="仿宋" w:cs="Arial Unicode MS"/>
          <w:color w:val="000000"/>
          <w:sz w:val="32"/>
          <w:szCs w:val="32"/>
        </w:rPr>
        <w:t>的</w:t>
      </w:r>
      <w:r>
        <w:rPr>
          <w:rFonts w:hint="eastAsia" w:ascii="仿宋" w:eastAsia="仿宋" w:cs="Arial Unicode MS"/>
          <w:color w:val="000000"/>
          <w:sz w:val="32"/>
          <w:szCs w:val="32"/>
        </w:rPr>
        <w:t>70%予以补贴。</w:t>
      </w:r>
    </w:p>
    <w:p w14:paraId="533F17B6">
      <w:pPr>
        <w:pStyle w:val="14"/>
        <w:spacing w:beforeAutospacing="0" w:after="0" w:afterAutospacing="0" w:line="360" w:lineRule="auto"/>
        <w:ind w:firstLine="640" w:firstLineChars="200"/>
        <w:jc w:val="both"/>
        <w:rPr>
          <w:rFonts w:ascii="仿宋" w:eastAsia="仿宋"/>
          <w:sz w:val="32"/>
          <w:szCs w:val="32"/>
        </w:rPr>
      </w:pPr>
      <w:r>
        <w:rPr>
          <w:rFonts w:hint="eastAsia" w:ascii="仿宋" w:eastAsia="仿宋"/>
          <w:sz w:val="32"/>
          <w:szCs w:val="32"/>
        </w:rPr>
        <w:t>2.项目应实现的具体绩效目标，包括目标的量化、细化情况以及项目实施进度计划等。</w:t>
      </w:r>
    </w:p>
    <w:p w14:paraId="319F5C92">
      <w:pPr>
        <w:pStyle w:val="14"/>
        <w:spacing w:beforeAutospacing="0" w:after="0" w:afterAutospacing="0" w:line="360" w:lineRule="auto"/>
        <w:ind w:left="0" w:firstLine="669"/>
        <w:jc w:val="both"/>
        <w:rPr>
          <w:rFonts w:hint="eastAsia" w:ascii="仿宋" w:eastAsia="仿宋"/>
          <w:sz w:val="32"/>
          <w:szCs w:val="32"/>
        </w:rPr>
      </w:pPr>
      <w:r>
        <w:rPr>
          <w:rFonts w:hint="eastAsia" w:ascii="仿宋" w:eastAsia="仿宋"/>
          <w:sz w:val="32"/>
          <w:szCs w:val="32"/>
        </w:rPr>
        <w:t>严格按年初预算</w:t>
      </w:r>
      <w:r>
        <w:rPr>
          <w:rFonts w:ascii="仿宋" w:eastAsia="仿宋"/>
          <w:sz w:val="32"/>
          <w:szCs w:val="32"/>
        </w:rPr>
        <w:t>控制资金，对当年在运的270余辆农村客运车辆按照不低于其保险费金额的70%予以补贴。</w:t>
      </w:r>
    </w:p>
    <w:p w14:paraId="03C59074">
      <w:pPr>
        <w:pStyle w:val="14"/>
        <w:spacing w:beforeAutospacing="0" w:after="0" w:afterAutospacing="0" w:line="360" w:lineRule="auto"/>
        <w:ind w:firstLine="640" w:firstLineChars="200"/>
        <w:jc w:val="both"/>
        <w:rPr>
          <w:rFonts w:ascii="仿宋" w:eastAsia="仿宋"/>
          <w:sz w:val="32"/>
          <w:szCs w:val="32"/>
        </w:rPr>
      </w:pPr>
      <w:r>
        <w:rPr>
          <w:rFonts w:hint="eastAsia" w:ascii="仿宋" w:eastAsia="仿宋"/>
          <w:sz w:val="32"/>
          <w:szCs w:val="32"/>
        </w:rPr>
        <w:t>3.分析评价申报内容是否与实际相符，申报目标是否合理可行。</w:t>
      </w:r>
    </w:p>
    <w:p w14:paraId="5FF12FC5">
      <w:pPr>
        <w:pStyle w:val="14"/>
        <w:spacing w:beforeAutospacing="0" w:after="0" w:afterAutospacing="0" w:line="360" w:lineRule="auto"/>
        <w:ind w:left="0" w:firstLine="669"/>
        <w:jc w:val="both"/>
        <w:rPr>
          <w:rFonts w:hint="eastAsia" w:ascii="仿宋" w:eastAsia="仿宋"/>
          <w:sz w:val="32"/>
          <w:szCs w:val="32"/>
        </w:rPr>
      </w:pPr>
      <w:r>
        <w:rPr>
          <w:rFonts w:hint="eastAsia" w:ascii="仿宋" w:eastAsia="仿宋"/>
          <w:sz w:val="32"/>
          <w:szCs w:val="32"/>
        </w:rPr>
        <w:t>分析评价申报内容与实际</w:t>
      </w:r>
      <w:r>
        <w:rPr>
          <w:rFonts w:ascii="仿宋" w:eastAsia="仿宋"/>
          <w:sz w:val="32"/>
          <w:szCs w:val="32"/>
        </w:rPr>
        <w:t>工作需要</w:t>
      </w:r>
      <w:r>
        <w:rPr>
          <w:rFonts w:hint="eastAsia" w:ascii="仿宋" w:eastAsia="仿宋"/>
          <w:sz w:val="32"/>
          <w:szCs w:val="32"/>
        </w:rPr>
        <w:t>相符，申报目标合理可行。</w:t>
      </w:r>
    </w:p>
    <w:p w14:paraId="2D7ED77D">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（三）项目自评步骤及方法</w:t>
      </w:r>
    </w:p>
    <w:p w14:paraId="58781DC4">
      <w:pPr>
        <w:keepNext w:val="0"/>
        <w:keepLines w:val="0"/>
        <w:pageBreakBefore w:val="0"/>
        <w:kinsoku/>
        <w:wordWrap/>
        <w:overflowPunct/>
        <w:topLinePunct w:val="0"/>
        <w:autoSpaceDE/>
        <w:autoSpaceDN/>
        <w:bidi w:val="0"/>
        <w:adjustRightInd w:val="0"/>
        <w:snapToGrid w:val="0"/>
        <w:spacing w:after="0" w:line="360" w:lineRule="auto"/>
        <w:ind w:firstLine="720"/>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1、</w:t>
      </w:r>
      <w:r>
        <w:rPr>
          <w:rFonts w:ascii="仿宋_GB2312" w:eastAsia="仿宋_GB2312"/>
          <w:sz w:val="32"/>
          <w:szCs w:val="32"/>
          <w:lang w:val="en-US" w:eastAsia="zh-CN"/>
        </w:rPr>
        <w:t>成</w:t>
      </w:r>
      <w:r>
        <w:rPr>
          <w:rFonts w:hint="eastAsia" w:ascii="仿宋_GB2312" w:eastAsia="仿宋_GB2312"/>
          <w:sz w:val="32"/>
          <w:szCs w:val="32"/>
          <w:lang w:val="en-US" w:eastAsia="zh-CN"/>
        </w:rPr>
        <w:t>立</w:t>
      </w:r>
      <w:r>
        <w:rPr>
          <w:rFonts w:ascii="仿宋_GB2312" w:eastAsia="仿宋_GB2312"/>
          <w:sz w:val="32"/>
          <w:szCs w:val="32"/>
          <w:lang w:val="en-US" w:eastAsia="zh-CN"/>
        </w:rPr>
        <w:t>项目自评</w:t>
      </w:r>
      <w:r>
        <w:rPr>
          <w:rFonts w:hint="eastAsia" w:ascii="仿宋_GB2312" w:eastAsia="仿宋_GB2312"/>
          <w:sz w:val="32"/>
          <w:szCs w:val="32"/>
          <w:lang w:val="en-US" w:eastAsia="zh-CN"/>
        </w:rPr>
        <w:t>工作</w:t>
      </w:r>
      <w:r>
        <w:rPr>
          <w:rFonts w:ascii="仿宋_GB2312" w:eastAsia="仿宋_GB2312"/>
          <w:sz w:val="32"/>
          <w:szCs w:val="32"/>
          <w:lang w:val="en-US" w:eastAsia="zh-CN"/>
        </w:rPr>
        <w:t>小</w:t>
      </w:r>
      <w:r>
        <w:rPr>
          <w:rFonts w:hint="eastAsia" w:ascii="仿宋_GB2312" w:eastAsia="仿宋_GB2312"/>
          <w:sz w:val="32"/>
          <w:szCs w:val="32"/>
          <w:lang w:val="en-US" w:eastAsia="zh-CN"/>
        </w:rPr>
        <w:t>组，</w:t>
      </w:r>
      <w:r>
        <w:rPr>
          <w:rFonts w:ascii="仿宋_GB2312" w:eastAsia="仿宋_GB2312"/>
          <w:sz w:val="32"/>
          <w:szCs w:val="32"/>
          <w:lang w:val="en-US" w:eastAsia="zh-CN"/>
        </w:rPr>
        <w:t>由单位</w:t>
      </w:r>
      <w:r>
        <w:rPr>
          <w:rFonts w:hint="eastAsia" w:ascii="仿宋_GB2312" w:eastAsia="仿宋_GB2312"/>
          <w:sz w:val="32"/>
          <w:szCs w:val="32"/>
          <w:lang w:val="en-US" w:eastAsia="zh-CN"/>
        </w:rPr>
        <w:t>主要负责人</w:t>
      </w:r>
      <w:r>
        <w:rPr>
          <w:rFonts w:ascii="仿宋_GB2312" w:eastAsia="仿宋_GB2312"/>
          <w:sz w:val="32"/>
          <w:szCs w:val="32"/>
          <w:lang w:val="en-US" w:eastAsia="zh-CN"/>
        </w:rPr>
        <w:t>任</w:t>
      </w:r>
      <w:r>
        <w:rPr>
          <w:rFonts w:hint="eastAsia" w:ascii="仿宋_GB2312" w:eastAsia="仿宋_GB2312"/>
          <w:sz w:val="32"/>
          <w:szCs w:val="32"/>
          <w:lang w:val="en-US" w:eastAsia="zh-CN"/>
        </w:rPr>
        <w:t>组长，</w:t>
      </w:r>
      <w:r>
        <w:rPr>
          <w:rFonts w:ascii="仿宋_GB2312" w:eastAsia="仿宋_GB2312"/>
          <w:sz w:val="32"/>
          <w:szCs w:val="32"/>
          <w:lang w:val="en-US" w:eastAsia="zh-CN"/>
        </w:rPr>
        <w:t>各科室</w:t>
      </w:r>
      <w:r>
        <w:rPr>
          <w:rFonts w:hint="eastAsia" w:ascii="仿宋_GB2312" w:eastAsia="仿宋_GB2312"/>
          <w:sz w:val="32"/>
          <w:szCs w:val="32"/>
          <w:lang w:val="en-US" w:eastAsia="zh-CN"/>
        </w:rPr>
        <w:t>负责人</w:t>
      </w:r>
      <w:r>
        <w:rPr>
          <w:rFonts w:ascii="仿宋_GB2312" w:eastAsia="仿宋_GB2312"/>
          <w:sz w:val="32"/>
          <w:szCs w:val="32"/>
          <w:lang w:val="en-US" w:eastAsia="zh-CN"/>
        </w:rPr>
        <w:t>为</w:t>
      </w:r>
      <w:r>
        <w:rPr>
          <w:rFonts w:hint="eastAsia" w:ascii="仿宋_GB2312" w:eastAsia="仿宋_GB2312"/>
          <w:sz w:val="32"/>
          <w:szCs w:val="32"/>
          <w:lang w:val="en-US" w:eastAsia="zh-CN"/>
        </w:rPr>
        <w:t>评价工作</w:t>
      </w:r>
      <w:r>
        <w:rPr>
          <w:rFonts w:ascii="仿宋_GB2312" w:eastAsia="仿宋_GB2312"/>
          <w:sz w:val="32"/>
          <w:szCs w:val="32"/>
          <w:lang w:val="en-US" w:eastAsia="zh-CN"/>
        </w:rPr>
        <w:t>小</w:t>
      </w:r>
      <w:r>
        <w:rPr>
          <w:rFonts w:hint="eastAsia" w:ascii="仿宋_GB2312" w:eastAsia="仿宋_GB2312"/>
          <w:sz w:val="32"/>
          <w:szCs w:val="32"/>
          <w:lang w:val="en-US" w:eastAsia="zh-CN"/>
        </w:rPr>
        <w:t>组</w:t>
      </w:r>
      <w:r>
        <w:rPr>
          <w:rFonts w:ascii="仿宋_GB2312" w:eastAsia="仿宋_GB2312"/>
          <w:sz w:val="32"/>
          <w:szCs w:val="32"/>
          <w:lang w:val="en-US" w:eastAsia="zh-CN"/>
        </w:rPr>
        <w:t>成员</w:t>
      </w:r>
      <w:r>
        <w:rPr>
          <w:rFonts w:hint="eastAsia" w:ascii="仿宋_GB2312" w:eastAsia="仿宋_GB2312"/>
          <w:sz w:val="32"/>
          <w:szCs w:val="32"/>
          <w:lang w:val="en-US" w:eastAsia="zh-CN"/>
        </w:rPr>
        <w:t>。</w:t>
      </w:r>
    </w:p>
    <w:p w14:paraId="55FF2C3E">
      <w:pPr>
        <w:keepNext w:val="0"/>
        <w:keepLines w:val="0"/>
        <w:pageBreakBefore w:val="0"/>
        <w:kinsoku/>
        <w:wordWrap/>
        <w:overflowPunct/>
        <w:topLinePunct w:val="0"/>
        <w:autoSpaceDE/>
        <w:autoSpaceDN/>
        <w:bidi w:val="0"/>
        <w:adjustRightInd w:val="0"/>
        <w:snapToGrid w:val="0"/>
        <w:spacing w:after="0" w:line="360" w:lineRule="auto"/>
        <w:ind w:firstLine="720"/>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2、制定评价工作方案，由工作组制定评价工作方案，工作组组长审批签发，作为</w:t>
      </w:r>
      <w:r>
        <w:rPr>
          <w:rFonts w:ascii="仿宋_GB2312" w:eastAsia="仿宋_GB2312"/>
          <w:sz w:val="32"/>
          <w:szCs w:val="32"/>
          <w:lang w:val="en-US" w:eastAsia="zh-CN"/>
        </w:rPr>
        <w:t>自</w:t>
      </w:r>
      <w:r>
        <w:rPr>
          <w:rFonts w:hint="eastAsia" w:ascii="仿宋_GB2312" w:eastAsia="仿宋_GB2312"/>
          <w:sz w:val="32"/>
          <w:szCs w:val="32"/>
          <w:lang w:val="en-US" w:eastAsia="zh-CN"/>
        </w:rPr>
        <w:t>评依据。</w:t>
      </w:r>
    </w:p>
    <w:p w14:paraId="15E1F697">
      <w:pPr>
        <w:keepNext w:val="0"/>
        <w:keepLines w:val="0"/>
        <w:pageBreakBefore w:val="0"/>
        <w:kinsoku/>
        <w:wordWrap/>
        <w:overflowPunct/>
        <w:topLinePunct w:val="0"/>
        <w:autoSpaceDE/>
        <w:autoSpaceDN/>
        <w:bidi w:val="0"/>
        <w:adjustRightInd w:val="0"/>
        <w:snapToGrid w:val="0"/>
        <w:spacing w:after="0" w:line="360" w:lineRule="auto"/>
        <w:ind w:firstLine="720"/>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3、下达评价通知，评价通知书一般由自评单位下达给承担项目使用的本单位内部机构。</w:t>
      </w:r>
    </w:p>
    <w:p w14:paraId="77DCDFEE">
      <w:pPr>
        <w:pStyle w:val="14"/>
        <w:spacing w:beforeAutospacing="0" w:after="0" w:afterAutospacing="0" w:line="360" w:lineRule="auto"/>
        <w:ind w:left="0" w:firstLine="669"/>
        <w:jc w:val="both"/>
        <w:rPr>
          <w:rFonts w:ascii="Times New Roman" w:hAnsi="Times New Roman" w:eastAsia="Arial Unicode MS"/>
          <w:sz w:val="32"/>
          <w:szCs w:val="32"/>
        </w:rPr>
      </w:pPr>
      <w:r>
        <w:rPr>
          <w:rFonts w:hint="eastAsia" w:ascii="仿宋_GB2312" w:eastAsia="仿宋_GB2312"/>
          <w:sz w:val="32"/>
          <w:szCs w:val="32"/>
          <w:lang w:val="en-US" w:eastAsia="zh-CN"/>
        </w:rPr>
        <w:t>4、评价方法分为现场评价、专项资金绩效自评、访谈评价等。</w:t>
      </w:r>
    </w:p>
    <w:p w14:paraId="0941D011">
      <w:pPr>
        <w:spacing w:after="0" w:line="360" w:lineRule="auto"/>
        <w:ind w:firstLine="643" w:firstLineChars="200"/>
        <w:outlineLvl w:val="1"/>
        <w:rPr>
          <w:rFonts w:hint="eastAsia" w:ascii="黑体" w:eastAsia="黑体"/>
          <w:b/>
          <w:bCs/>
          <w:sz w:val="32"/>
          <w:szCs w:val="32"/>
        </w:rPr>
      </w:pPr>
      <w:bookmarkStart w:id="160" w:name="_Toc26085"/>
      <w:bookmarkStart w:id="161" w:name="_Toc14522"/>
      <w:r>
        <w:rPr>
          <w:rFonts w:hint="eastAsia" w:ascii="黑体" w:eastAsia="黑体"/>
          <w:b/>
          <w:bCs/>
          <w:sz w:val="32"/>
          <w:szCs w:val="32"/>
        </w:rPr>
        <w:t>二、项目资金申报及使用情况</w:t>
      </w:r>
      <w:bookmarkEnd w:id="160"/>
      <w:bookmarkEnd w:id="161"/>
    </w:p>
    <w:p w14:paraId="208A3EAC">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（一）项目资金申报及批复情况</w:t>
      </w:r>
    </w:p>
    <w:p w14:paraId="5BBEA5E9">
      <w:pPr>
        <w:pStyle w:val="14"/>
        <w:spacing w:beforeAutospacing="0" w:after="0" w:afterAutospacing="0" w:line="360" w:lineRule="auto"/>
        <w:ind w:left="0" w:firstLine="669"/>
        <w:jc w:val="both"/>
        <w:rPr>
          <w:rFonts w:hint="eastAsia" w:ascii="仿宋" w:eastAsia="仿宋"/>
          <w:sz w:val="32"/>
          <w:szCs w:val="32"/>
        </w:rPr>
      </w:pPr>
      <w:r>
        <w:rPr>
          <w:rFonts w:ascii="仿宋" w:eastAsia="仿宋" w:cs="Arial Unicode MS"/>
          <w:color w:val="000000"/>
          <w:sz w:val="32"/>
          <w:szCs w:val="32"/>
        </w:rPr>
        <w:t>2023年度，农村客运保险补贴项目经费申报金额55.00万元，审批金额55.00万元。</w:t>
      </w:r>
    </w:p>
    <w:p w14:paraId="0DF4DCF4">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（二）资金计划、到位及使用情况（可用表格形式反映）</w:t>
      </w:r>
    </w:p>
    <w:p w14:paraId="2D5FE5AC">
      <w:pPr>
        <w:pStyle w:val="14"/>
        <w:spacing w:beforeAutospacing="0" w:after="0" w:afterAutospacing="0" w:line="360" w:lineRule="auto"/>
        <w:ind w:left="0" w:firstLine="669"/>
        <w:jc w:val="both"/>
        <w:rPr>
          <w:rFonts w:ascii="仿宋" w:eastAsia="仿宋"/>
          <w:b/>
          <w:sz w:val="32"/>
          <w:szCs w:val="32"/>
        </w:rPr>
      </w:pPr>
      <w:r>
        <w:rPr>
          <w:rFonts w:hint="eastAsia" w:ascii="仿宋" w:eastAsia="仿宋"/>
          <w:b/>
          <w:sz w:val="32"/>
          <w:szCs w:val="32"/>
        </w:rPr>
        <w:t>1.资金计划。</w:t>
      </w:r>
      <w:r>
        <w:rPr>
          <w:rFonts w:ascii="仿宋" w:eastAsia="仿宋" w:cs="Arial Unicode MS"/>
          <w:color w:val="000000"/>
          <w:sz w:val="32"/>
          <w:szCs w:val="32"/>
        </w:rPr>
        <w:t>2023年度，农村客运保险补贴项目申报预算资金55.00万元，其中本级财政资金55.00万元。</w:t>
      </w:r>
    </w:p>
    <w:p w14:paraId="01D10801">
      <w:pPr>
        <w:pStyle w:val="14"/>
        <w:spacing w:beforeAutospacing="0" w:after="0" w:afterAutospacing="0" w:line="360" w:lineRule="auto"/>
        <w:ind w:left="0" w:firstLine="669"/>
        <w:jc w:val="both"/>
        <w:rPr>
          <w:rFonts w:ascii="仿宋" w:eastAsia="仿宋" w:cs="楷体_GB2312"/>
          <w:bCs/>
          <w:sz w:val="32"/>
          <w:szCs w:val="32"/>
        </w:rPr>
      </w:pPr>
      <w:r>
        <w:rPr>
          <w:rFonts w:hint="eastAsia" w:ascii="仿宋" w:eastAsia="仿宋"/>
          <w:b/>
          <w:sz w:val="32"/>
          <w:szCs w:val="32"/>
        </w:rPr>
        <w:t>2.资金到位。</w:t>
      </w:r>
      <w:r>
        <w:rPr>
          <w:rFonts w:hint="eastAsia" w:ascii="仿宋" w:eastAsia="仿宋" w:cs="楷体"/>
          <w:sz w:val="32"/>
          <w:szCs w:val="32"/>
        </w:rPr>
        <w:t>202</w:t>
      </w:r>
      <w:r>
        <w:rPr>
          <w:rFonts w:ascii="仿宋" w:eastAsia="仿宋" w:cs="楷体"/>
          <w:sz w:val="32"/>
          <w:szCs w:val="32"/>
        </w:rPr>
        <w:t>3</w:t>
      </w:r>
      <w:r>
        <w:rPr>
          <w:rFonts w:hint="eastAsia" w:ascii="仿宋" w:eastAsia="仿宋" w:cs="楷体"/>
          <w:sz w:val="32"/>
          <w:szCs w:val="32"/>
        </w:rPr>
        <w:t>年，农村客运保险补贴项目资金55.00万元全额到位，</w:t>
      </w:r>
      <w:r>
        <w:rPr>
          <w:rFonts w:hint="eastAsia" w:ascii="仿宋" w:eastAsia="仿宋" w:cs="楷体_GB2312"/>
          <w:bCs/>
          <w:sz w:val="32"/>
          <w:szCs w:val="32"/>
        </w:rPr>
        <w:t>资金到位率100%。</w:t>
      </w:r>
    </w:p>
    <w:p w14:paraId="05CDBD2A">
      <w:pPr>
        <w:widowControl w:val="0"/>
        <w:spacing w:after="0" w:line="360" w:lineRule="auto"/>
        <w:ind w:firstLine="643" w:firstLineChars="200"/>
        <w:jc w:val="both"/>
        <w:rPr>
          <w:rFonts w:ascii="仿宋" w:eastAsia="仿宋"/>
          <w:sz w:val="32"/>
          <w:szCs w:val="32"/>
        </w:rPr>
      </w:pPr>
      <w:r>
        <w:rPr>
          <w:rFonts w:hint="eastAsia" w:ascii="仿宋" w:eastAsia="仿宋"/>
          <w:b/>
          <w:sz w:val="32"/>
          <w:szCs w:val="32"/>
        </w:rPr>
        <w:t xml:space="preserve">3.资金使用。 </w:t>
      </w:r>
      <w:r>
        <w:rPr>
          <w:rFonts w:hint="eastAsia" w:ascii="仿宋" w:eastAsia="仿宋" w:cs="楷体"/>
          <w:sz w:val="32"/>
          <w:szCs w:val="32"/>
        </w:rPr>
        <w:t>202</w:t>
      </w:r>
      <w:r>
        <w:rPr>
          <w:rFonts w:ascii="仿宋" w:eastAsia="仿宋" w:cs="楷体"/>
          <w:sz w:val="32"/>
          <w:szCs w:val="32"/>
        </w:rPr>
        <w:t>3</w:t>
      </w:r>
      <w:r>
        <w:rPr>
          <w:rFonts w:hint="eastAsia" w:ascii="仿宋" w:eastAsia="仿宋" w:cs="楷体"/>
          <w:sz w:val="32"/>
          <w:szCs w:val="32"/>
        </w:rPr>
        <w:t>年，农村客运保险补贴项目资金55.00万元，</w:t>
      </w:r>
      <w:r>
        <w:rPr>
          <w:rFonts w:ascii="仿宋_GB2312" w:eastAsia="仿宋_GB2312"/>
          <w:sz w:val="32"/>
          <w:szCs w:val="32"/>
          <w:lang w:val="en-US" w:eastAsia="zh-CN"/>
        </w:rPr>
        <w:t>我单位</w:t>
      </w:r>
      <w:r>
        <w:rPr>
          <w:rFonts w:hint="eastAsia" w:ascii="仿宋" w:eastAsia="仿宋" w:cs="仿宋_GB2312"/>
          <w:sz w:val="32"/>
          <w:szCs w:val="32"/>
          <w:lang w:val="en-US" w:eastAsia="zh-CN"/>
        </w:rPr>
        <w:t>严格</w:t>
      </w:r>
      <w:r>
        <w:rPr>
          <w:rFonts w:hint="eastAsia" w:ascii="仿宋" w:eastAsia="仿宋" w:cs="仿宋_GB2312"/>
          <w:kern w:val="2"/>
          <w:sz w:val="32"/>
          <w:szCs w:val="32"/>
          <w:lang w:val="en-US" w:eastAsia="zh-CN" w:bidi="ar-SA"/>
        </w:rPr>
        <w:t>按照财务制度和</w:t>
      </w:r>
      <w:r>
        <w:rPr>
          <w:rFonts w:ascii="仿宋" w:eastAsia="仿宋" w:cs="仿宋_GB2312"/>
          <w:kern w:val="2"/>
          <w:sz w:val="32"/>
          <w:szCs w:val="32"/>
          <w:lang w:val="en-US" w:eastAsia="zh-CN" w:bidi="ar-SA"/>
        </w:rPr>
        <w:t>项目</w:t>
      </w:r>
      <w:r>
        <w:rPr>
          <w:rFonts w:hint="eastAsia" w:ascii="仿宋" w:eastAsia="仿宋" w:cs="仿宋_GB2312"/>
          <w:kern w:val="2"/>
          <w:sz w:val="32"/>
          <w:szCs w:val="32"/>
          <w:lang w:val="en-US" w:eastAsia="zh-CN" w:bidi="ar-SA"/>
        </w:rPr>
        <w:t>预算支出范围</w:t>
      </w:r>
      <w:r>
        <w:rPr>
          <w:rFonts w:ascii="仿宋" w:eastAsia="仿宋" w:cs="仿宋_GB2312"/>
          <w:kern w:val="2"/>
          <w:sz w:val="32"/>
          <w:szCs w:val="32"/>
          <w:lang w:val="en-US" w:eastAsia="zh-CN" w:bidi="ar-SA"/>
        </w:rPr>
        <w:t>，将该项资金</w:t>
      </w:r>
      <w:r>
        <w:rPr>
          <w:rFonts w:hint="eastAsia" w:ascii="仿宋" w:eastAsia="仿宋" w:cs="楷体"/>
          <w:sz w:val="32"/>
          <w:szCs w:val="32"/>
        </w:rPr>
        <w:t>全额用于</w:t>
      </w:r>
      <w:r>
        <w:rPr>
          <w:rFonts w:ascii="仿宋" w:eastAsia="仿宋" w:cs="楷体"/>
          <w:sz w:val="32"/>
          <w:szCs w:val="32"/>
        </w:rPr>
        <w:t>当年在运</w:t>
      </w:r>
      <w:r>
        <w:rPr>
          <w:rFonts w:hint="eastAsia" w:ascii="仿宋" w:eastAsia="仿宋" w:cs="楷体"/>
          <w:sz w:val="32"/>
          <w:szCs w:val="32"/>
        </w:rPr>
        <w:t>农村客运车辆的保险补贴并及时</w:t>
      </w:r>
      <w:r>
        <w:rPr>
          <w:rFonts w:ascii="仿宋" w:eastAsia="仿宋" w:cs="楷体"/>
          <w:sz w:val="32"/>
          <w:szCs w:val="32"/>
        </w:rPr>
        <w:t>足额</w:t>
      </w:r>
      <w:r>
        <w:rPr>
          <w:rFonts w:hint="eastAsia" w:ascii="仿宋" w:eastAsia="仿宋" w:cs="楷体"/>
          <w:sz w:val="32"/>
          <w:szCs w:val="32"/>
        </w:rPr>
        <w:t>补贴到位。</w:t>
      </w:r>
    </w:p>
    <w:p w14:paraId="763599F4">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（三）项目财务管理情况</w:t>
      </w:r>
    </w:p>
    <w:p w14:paraId="5FD8E4F6">
      <w:pPr>
        <w:pStyle w:val="14"/>
        <w:spacing w:beforeAutospacing="0" w:after="0" w:afterAutospacing="0" w:line="360" w:lineRule="auto"/>
        <w:ind w:firstLine="640" w:firstLineChars="200"/>
        <w:jc w:val="both"/>
        <w:rPr>
          <w:rFonts w:hint="eastAsia" w:ascii="仿宋" w:eastAsia="仿宋"/>
          <w:sz w:val="32"/>
          <w:szCs w:val="32"/>
        </w:rPr>
      </w:pPr>
      <w:r>
        <w:rPr>
          <w:rFonts w:ascii="仿宋" w:eastAsia="仿宋"/>
          <w:sz w:val="32"/>
          <w:szCs w:val="32"/>
        </w:rPr>
        <w:t>射洪市交通运输局道路运输管理所</w:t>
      </w:r>
      <w:r>
        <w:rPr>
          <w:rFonts w:hint="eastAsia" w:ascii="仿宋" w:eastAsia="仿宋"/>
          <w:sz w:val="32"/>
          <w:szCs w:val="32"/>
        </w:rPr>
        <w:t>财务管理制度健全，严格执行财务管理制度，账务处理及时，会计核算规范。</w:t>
      </w:r>
    </w:p>
    <w:p w14:paraId="4D512523">
      <w:pPr>
        <w:spacing w:after="0" w:line="360" w:lineRule="auto"/>
        <w:ind w:firstLine="643" w:firstLineChars="200"/>
        <w:outlineLvl w:val="1"/>
        <w:rPr>
          <w:rFonts w:hint="eastAsia" w:ascii="黑体" w:eastAsia="黑体"/>
          <w:b/>
          <w:bCs/>
          <w:sz w:val="32"/>
          <w:szCs w:val="32"/>
        </w:rPr>
      </w:pPr>
      <w:bookmarkStart w:id="162" w:name="_Toc7594"/>
      <w:bookmarkStart w:id="163" w:name="_Toc6083"/>
      <w:r>
        <w:rPr>
          <w:rFonts w:hint="eastAsia" w:ascii="黑体" w:eastAsia="黑体"/>
          <w:b/>
          <w:bCs/>
          <w:sz w:val="32"/>
          <w:szCs w:val="32"/>
        </w:rPr>
        <w:t>三、项目实施及管理情况</w:t>
      </w:r>
      <w:bookmarkEnd w:id="162"/>
      <w:bookmarkEnd w:id="163"/>
    </w:p>
    <w:p w14:paraId="7FAACBC4">
      <w:pPr>
        <w:pStyle w:val="14"/>
        <w:spacing w:beforeAutospacing="0" w:after="0" w:afterAutospacing="0" w:line="360" w:lineRule="auto"/>
        <w:ind w:firstLine="640" w:firstLineChars="200"/>
        <w:rPr>
          <w:rFonts w:hint="eastAsia" w:ascii="仿宋" w:eastAsia="仿宋"/>
          <w:sz w:val="32"/>
          <w:szCs w:val="32"/>
        </w:rPr>
      </w:pPr>
      <w:r>
        <w:rPr>
          <w:rFonts w:hint="eastAsia" w:ascii="仿宋" w:eastAsia="仿宋"/>
          <w:sz w:val="32"/>
          <w:szCs w:val="32"/>
        </w:rPr>
        <w:t>结合项目组织实施管理办法，重点围绕以下内容进行分析评价，并对自评中发现的问题分析说明。</w:t>
      </w:r>
    </w:p>
    <w:p w14:paraId="1BF0FB58">
      <w:pPr>
        <w:numPr>
          <w:ilvl w:val="0"/>
          <w:numId w:val="9"/>
        </w:numPr>
        <w:spacing w:after="0" w:line="360" w:lineRule="auto"/>
        <w:rPr>
          <w:rFonts w:ascii="楷体" w:eastAsia="楷体"/>
          <w:b/>
          <w:bCs/>
          <w:sz w:val="32"/>
          <w:szCs w:val="32"/>
        </w:rPr>
      </w:pPr>
      <w:r>
        <w:rPr>
          <w:rFonts w:hint="eastAsia" w:ascii="楷体" w:eastAsia="楷体"/>
          <w:b/>
          <w:bCs/>
          <w:sz w:val="32"/>
          <w:szCs w:val="32"/>
        </w:rPr>
        <w:t>项目组织架构及实施流程</w:t>
      </w:r>
    </w:p>
    <w:p w14:paraId="46BFC42A">
      <w:pPr>
        <w:pStyle w:val="28"/>
        <w:widowControl w:val="0"/>
        <w:spacing w:after="0" w:line="360" w:lineRule="auto"/>
        <w:ind w:firstLine="640" w:firstLineChars="0"/>
        <w:jc w:val="both"/>
        <w:rPr>
          <w:rFonts w:ascii="仿宋" w:eastAsia="仿宋" w:cs="楷体"/>
          <w:sz w:val="32"/>
          <w:szCs w:val="32"/>
          <w:highlight w:val="cyan"/>
        </w:rPr>
      </w:pPr>
      <w:r>
        <w:rPr>
          <w:rFonts w:ascii="仿宋" w:eastAsia="仿宋"/>
          <w:color w:val="333333"/>
          <w:sz w:val="32"/>
          <w:szCs w:val="32"/>
          <w:shd w:val="clear" w:color="auto" w:fill="FFFFFF"/>
        </w:rPr>
        <w:t>首先是</w:t>
      </w:r>
      <w:r>
        <w:rPr>
          <w:rFonts w:hint="eastAsia" w:ascii="仿宋" w:eastAsia="仿宋"/>
          <w:color w:val="333333"/>
          <w:sz w:val="32"/>
          <w:szCs w:val="32"/>
          <w:shd w:val="clear" w:color="auto" w:fill="FFFFFF"/>
        </w:rPr>
        <w:t>摸清我市享受农村客运车辆保险</w:t>
      </w:r>
      <w:r>
        <w:rPr>
          <w:rFonts w:ascii="仿宋" w:eastAsia="仿宋"/>
          <w:color w:val="333333"/>
          <w:sz w:val="32"/>
          <w:szCs w:val="32"/>
          <w:shd w:val="clear" w:color="auto" w:fill="FFFFFF"/>
        </w:rPr>
        <w:t>补贴</w:t>
      </w:r>
      <w:r>
        <w:rPr>
          <w:rFonts w:hint="eastAsia" w:ascii="仿宋" w:eastAsia="仿宋"/>
          <w:color w:val="333333"/>
          <w:sz w:val="32"/>
          <w:szCs w:val="32"/>
          <w:shd w:val="clear" w:color="auto" w:fill="FFFFFF"/>
        </w:rPr>
        <w:t>的客运车辆</w:t>
      </w:r>
      <w:r>
        <w:rPr>
          <w:rFonts w:ascii="仿宋" w:eastAsia="仿宋"/>
          <w:color w:val="333333"/>
          <w:sz w:val="32"/>
          <w:szCs w:val="32"/>
          <w:shd w:val="clear" w:color="auto" w:fill="FFFFFF"/>
        </w:rPr>
        <w:t>信息；其次是</w:t>
      </w:r>
      <w:r>
        <w:rPr>
          <w:rFonts w:hint="eastAsia" w:ascii="仿宋" w:eastAsia="仿宋"/>
          <w:color w:val="333333"/>
          <w:sz w:val="32"/>
          <w:szCs w:val="32"/>
          <w:shd w:val="clear" w:color="auto" w:fill="FFFFFF"/>
        </w:rPr>
        <w:t>及时核算保险费补贴</w:t>
      </w:r>
      <w:r>
        <w:rPr>
          <w:rFonts w:ascii="仿宋" w:eastAsia="仿宋"/>
          <w:color w:val="333333"/>
          <w:sz w:val="32"/>
          <w:szCs w:val="32"/>
          <w:shd w:val="clear" w:color="auto" w:fill="FFFFFF"/>
        </w:rPr>
        <w:t>标准</w:t>
      </w:r>
      <w:r>
        <w:rPr>
          <w:rFonts w:hint="eastAsia" w:ascii="仿宋" w:eastAsia="仿宋"/>
          <w:color w:val="333333"/>
          <w:sz w:val="32"/>
          <w:szCs w:val="32"/>
          <w:shd w:val="clear" w:color="auto" w:fill="FFFFFF"/>
        </w:rPr>
        <w:t>，并进行信息公示</w:t>
      </w:r>
      <w:r>
        <w:rPr>
          <w:rFonts w:ascii="仿宋" w:eastAsia="仿宋"/>
          <w:color w:val="333333"/>
          <w:sz w:val="32"/>
          <w:szCs w:val="32"/>
          <w:shd w:val="clear" w:color="auto" w:fill="FFFFFF"/>
        </w:rPr>
        <w:t>；最后是通过一卡通系统及时足额</w:t>
      </w:r>
      <w:r>
        <w:rPr>
          <w:rFonts w:hint="eastAsia" w:ascii="仿宋" w:eastAsia="仿宋"/>
          <w:color w:val="333333"/>
          <w:sz w:val="32"/>
          <w:szCs w:val="32"/>
          <w:shd w:val="clear" w:color="auto" w:fill="FFFFFF"/>
        </w:rPr>
        <w:t>兑现补贴费用，降低</w:t>
      </w:r>
      <w:r>
        <w:rPr>
          <w:rFonts w:hint="eastAsia" w:ascii="仿宋" w:eastAsia="仿宋"/>
          <w:color w:val="333333"/>
          <w:sz w:val="32"/>
          <w:szCs w:val="32"/>
          <w:shd w:val="clear" w:color="auto" w:fill="FFFFFF"/>
          <w:lang w:eastAsia="zh-CN"/>
        </w:rPr>
        <w:t>农</w:t>
      </w:r>
      <w:r>
        <w:rPr>
          <w:rFonts w:hint="eastAsia" w:ascii="仿宋" w:eastAsia="仿宋"/>
          <w:color w:val="333333"/>
          <w:sz w:val="32"/>
          <w:szCs w:val="32"/>
          <w:shd w:val="clear" w:color="auto" w:fill="FFFFFF"/>
        </w:rPr>
        <w:t>村客运车辆运营成本。</w:t>
      </w:r>
    </w:p>
    <w:p w14:paraId="4CDAB989">
      <w:pPr>
        <w:spacing w:after="0" w:line="360" w:lineRule="auto"/>
        <w:ind w:firstLine="643" w:firstLineChars="200"/>
        <w:rPr>
          <w:rFonts w:ascii="楷体" w:eastAsia="楷体"/>
          <w:b/>
          <w:bCs/>
          <w:sz w:val="32"/>
          <w:szCs w:val="32"/>
        </w:rPr>
      </w:pPr>
      <w:r>
        <w:rPr>
          <w:rFonts w:hint="eastAsia" w:ascii="楷体" w:eastAsia="楷体"/>
          <w:b/>
          <w:bCs/>
          <w:sz w:val="32"/>
          <w:szCs w:val="32"/>
        </w:rPr>
        <w:t>（二）项目管理情况</w:t>
      </w:r>
    </w:p>
    <w:p w14:paraId="721063AD">
      <w:pPr>
        <w:pStyle w:val="28"/>
        <w:widowControl w:val="0"/>
        <w:spacing w:after="0" w:line="360" w:lineRule="auto"/>
        <w:ind w:firstLine="640" w:firstLineChars="0"/>
        <w:jc w:val="both"/>
        <w:rPr>
          <w:rFonts w:ascii="Times New Roman" w:hAnsi="Times New Roman" w:eastAsia="Arial Unicode MS"/>
          <w:sz w:val="30"/>
          <w:szCs w:val="30"/>
        </w:rPr>
      </w:pPr>
      <w:r>
        <w:rPr>
          <w:rFonts w:hint="eastAsia" w:ascii="仿宋_GB2312" w:eastAsia="仿宋_GB2312"/>
          <w:sz w:val="32"/>
          <w:szCs w:val="32"/>
          <w:lang w:val="zh-CN"/>
        </w:rPr>
        <w:t>本项目的经费严格按照单位的财务制度和预算支出范围的使用。按照项目</w:t>
      </w:r>
      <w:r>
        <w:rPr>
          <w:rFonts w:ascii="仿宋_GB2312" w:eastAsia="仿宋_GB2312"/>
          <w:sz w:val="32"/>
          <w:szCs w:val="32"/>
          <w:lang w:val="zh-CN"/>
        </w:rPr>
        <w:t>预算</w:t>
      </w:r>
      <w:r>
        <w:rPr>
          <w:rFonts w:hint="eastAsia" w:ascii="仿宋_GB2312" w:eastAsia="仿宋_GB2312"/>
          <w:sz w:val="32"/>
          <w:szCs w:val="32"/>
          <w:lang w:val="zh-CN"/>
        </w:rPr>
        <w:t>安排和实际工作情况开支，做到了专款专用，经费均按照</w:t>
      </w:r>
      <w:r>
        <w:rPr>
          <w:rFonts w:hint="eastAsia" w:ascii="仿宋_GB2312" w:eastAsia="仿宋_GB2312"/>
          <w:sz w:val="32"/>
          <w:szCs w:val="32"/>
          <w:lang w:val="en-US" w:eastAsia="zh-CN"/>
        </w:rPr>
        <w:t>射洪市</w:t>
      </w:r>
      <w:r>
        <w:rPr>
          <w:rFonts w:hint="eastAsia" w:ascii="仿宋_GB2312" w:eastAsia="仿宋_GB2312"/>
          <w:sz w:val="32"/>
          <w:szCs w:val="32"/>
          <w:lang w:val="zh-CN"/>
        </w:rPr>
        <w:t>财政</w:t>
      </w:r>
      <w:r>
        <w:rPr>
          <w:rFonts w:hint="eastAsia" w:ascii="仿宋_GB2312" w:eastAsia="仿宋_GB2312"/>
          <w:sz w:val="32"/>
          <w:szCs w:val="32"/>
          <w:lang w:val="en-US" w:eastAsia="zh-CN"/>
        </w:rPr>
        <w:t>局</w:t>
      </w:r>
      <w:r>
        <w:rPr>
          <w:rFonts w:hint="eastAsia" w:ascii="仿宋_GB2312" w:eastAsia="仿宋_GB2312"/>
          <w:sz w:val="32"/>
          <w:szCs w:val="32"/>
          <w:lang w:val="zh-CN"/>
        </w:rPr>
        <w:t>印发</w:t>
      </w:r>
      <w:r>
        <w:rPr>
          <w:rFonts w:ascii="仿宋_GB2312" w:eastAsia="仿宋_GB2312"/>
          <w:sz w:val="32"/>
          <w:szCs w:val="32"/>
          <w:lang w:val="zh-CN"/>
        </w:rPr>
        <w:t>相</w:t>
      </w:r>
      <w:r>
        <w:rPr>
          <w:rFonts w:hint="eastAsia" w:ascii="仿宋_GB2312" w:eastAsia="仿宋_GB2312"/>
          <w:sz w:val="32"/>
          <w:szCs w:val="32"/>
          <w:lang w:val="zh-CN"/>
        </w:rPr>
        <w:t>关文件、通知精神执行</w:t>
      </w:r>
      <w:r>
        <w:rPr>
          <w:rFonts w:hint="eastAsia" w:ascii="Times New Roman" w:hAnsi="Times New Roman" w:eastAsia="Arial Unicode MS"/>
          <w:sz w:val="30"/>
          <w:szCs w:val="30"/>
        </w:rPr>
        <w:t>。</w:t>
      </w:r>
    </w:p>
    <w:p w14:paraId="1FFC0A5D">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（三）项目监管情况</w:t>
      </w:r>
    </w:p>
    <w:p w14:paraId="22D6C3B0">
      <w:pPr>
        <w:pStyle w:val="28"/>
        <w:widowControl w:val="0"/>
        <w:spacing w:after="0" w:line="360" w:lineRule="auto"/>
        <w:ind w:firstLine="640" w:firstLineChars="0"/>
        <w:jc w:val="both"/>
        <w:rPr>
          <w:rFonts w:hint="eastAsia" w:ascii="仿宋" w:eastAsia="仿宋"/>
          <w:sz w:val="30"/>
          <w:szCs w:val="30"/>
        </w:rPr>
      </w:pPr>
      <w:r>
        <w:rPr>
          <w:rFonts w:hint="eastAsia" w:ascii="仿宋" w:eastAsia="仿宋"/>
          <w:sz w:val="32"/>
          <w:szCs w:val="32"/>
          <w:lang w:val="en-US" w:eastAsia="zh-CN"/>
        </w:rPr>
        <w:t>为加强此项目监管，</w:t>
      </w:r>
      <w:r>
        <w:rPr>
          <w:rFonts w:ascii="仿宋" w:eastAsia="仿宋"/>
          <w:color w:val="333333"/>
          <w:sz w:val="32"/>
          <w:szCs w:val="32"/>
          <w:shd w:val="clear" w:color="auto" w:fill="FFFFFF"/>
        </w:rPr>
        <w:t>首先是由我单位相关业务股室</w:t>
      </w:r>
      <w:r>
        <w:rPr>
          <w:rFonts w:hint="eastAsia" w:ascii="仿宋" w:eastAsia="仿宋"/>
          <w:color w:val="333333"/>
          <w:sz w:val="32"/>
          <w:szCs w:val="32"/>
          <w:shd w:val="clear" w:color="auto" w:fill="FFFFFF"/>
        </w:rPr>
        <w:t>摸清</w:t>
      </w:r>
      <w:r>
        <w:rPr>
          <w:rFonts w:ascii="仿宋" w:eastAsia="仿宋"/>
          <w:color w:val="333333"/>
          <w:sz w:val="32"/>
          <w:szCs w:val="32"/>
          <w:shd w:val="clear" w:color="auto" w:fill="FFFFFF"/>
        </w:rPr>
        <w:t>应享</w:t>
      </w:r>
      <w:r>
        <w:rPr>
          <w:rFonts w:hint="eastAsia" w:ascii="仿宋" w:eastAsia="仿宋"/>
          <w:color w:val="333333"/>
          <w:sz w:val="32"/>
          <w:szCs w:val="32"/>
          <w:shd w:val="clear" w:color="auto" w:fill="FFFFFF"/>
        </w:rPr>
        <w:t>受农村客运车辆保险</w:t>
      </w:r>
      <w:r>
        <w:rPr>
          <w:rFonts w:ascii="仿宋" w:eastAsia="仿宋"/>
          <w:color w:val="333333"/>
          <w:sz w:val="32"/>
          <w:szCs w:val="32"/>
          <w:shd w:val="clear" w:color="auto" w:fill="FFFFFF"/>
        </w:rPr>
        <w:t>补贴</w:t>
      </w:r>
      <w:r>
        <w:rPr>
          <w:rFonts w:hint="eastAsia" w:ascii="仿宋" w:eastAsia="仿宋"/>
          <w:color w:val="333333"/>
          <w:sz w:val="32"/>
          <w:szCs w:val="32"/>
          <w:shd w:val="clear" w:color="auto" w:fill="FFFFFF"/>
        </w:rPr>
        <w:t>的客运车辆</w:t>
      </w:r>
      <w:r>
        <w:rPr>
          <w:rFonts w:ascii="仿宋" w:eastAsia="仿宋"/>
          <w:color w:val="333333"/>
          <w:sz w:val="32"/>
          <w:szCs w:val="32"/>
          <w:shd w:val="clear" w:color="auto" w:fill="FFFFFF"/>
        </w:rPr>
        <w:t>信息并核算出应补金额，随后</w:t>
      </w:r>
      <w:r>
        <w:rPr>
          <w:rFonts w:hint="eastAsia" w:ascii="仿宋" w:eastAsia="仿宋"/>
          <w:color w:val="333333"/>
          <w:sz w:val="32"/>
          <w:szCs w:val="32"/>
          <w:shd w:val="clear" w:color="auto" w:fill="FFFFFF"/>
        </w:rPr>
        <w:t>进行信息公示</w:t>
      </w:r>
      <w:r>
        <w:rPr>
          <w:rFonts w:ascii="仿宋" w:eastAsia="仿宋"/>
          <w:color w:val="333333"/>
          <w:sz w:val="32"/>
          <w:szCs w:val="32"/>
          <w:shd w:val="clear" w:color="auto" w:fill="FFFFFF"/>
        </w:rPr>
        <w:t>并由受益人逐一签字确认、单位领导签批，最后通过一卡通系统及时足额</w:t>
      </w:r>
      <w:r>
        <w:rPr>
          <w:rFonts w:hint="eastAsia" w:ascii="仿宋" w:eastAsia="仿宋"/>
          <w:color w:val="333333"/>
          <w:sz w:val="32"/>
          <w:szCs w:val="32"/>
          <w:shd w:val="clear" w:color="auto" w:fill="FFFFFF"/>
        </w:rPr>
        <w:t>兑现</w:t>
      </w:r>
      <w:r>
        <w:rPr>
          <w:rFonts w:ascii="仿宋" w:eastAsia="仿宋"/>
          <w:color w:val="333333"/>
          <w:sz w:val="32"/>
          <w:szCs w:val="32"/>
          <w:shd w:val="clear" w:color="auto" w:fill="FFFFFF"/>
        </w:rPr>
        <w:t>，</w:t>
      </w:r>
      <w:r>
        <w:rPr>
          <w:rFonts w:hint="eastAsia" w:ascii="仿宋" w:eastAsia="仿宋"/>
          <w:sz w:val="32"/>
          <w:szCs w:val="32"/>
          <w:lang w:val="en-US" w:eastAsia="zh-CN"/>
        </w:rPr>
        <w:t>做到</w:t>
      </w:r>
      <w:r>
        <w:rPr>
          <w:rFonts w:ascii="仿宋" w:eastAsia="仿宋"/>
          <w:sz w:val="32"/>
          <w:szCs w:val="32"/>
          <w:lang w:val="en-US" w:eastAsia="zh-CN"/>
        </w:rPr>
        <w:t>层层把关，</w:t>
      </w:r>
      <w:r>
        <w:rPr>
          <w:rFonts w:hint="eastAsia" w:ascii="仿宋" w:eastAsia="仿宋"/>
          <w:sz w:val="32"/>
          <w:szCs w:val="32"/>
          <w:lang w:val="en-US" w:eastAsia="zh-CN"/>
        </w:rPr>
        <w:t>透明有序</w:t>
      </w:r>
      <w:r>
        <w:rPr>
          <w:rFonts w:hint="eastAsia" w:ascii="仿宋" w:eastAsia="仿宋"/>
          <w:sz w:val="30"/>
          <w:szCs w:val="30"/>
        </w:rPr>
        <w:t>。</w:t>
      </w:r>
    </w:p>
    <w:p w14:paraId="30F2BD64">
      <w:pPr>
        <w:spacing w:after="0" w:line="360" w:lineRule="auto"/>
        <w:ind w:firstLine="643" w:firstLineChars="200"/>
        <w:outlineLvl w:val="1"/>
        <w:rPr>
          <w:rFonts w:hint="eastAsia" w:ascii="黑体" w:eastAsia="黑体"/>
          <w:b/>
          <w:bCs/>
          <w:sz w:val="32"/>
          <w:szCs w:val="32"/>
        </w:rPr>
      </w:pPr>
      <w:bookmarkStart w:id="164" w:name="_Toc6185"/>
      <w:bookmarkStart w:id="165" w:name="_Toc14241"/>
      <w:r>
        <w:rPr>
          <w:rFonts w:hint="eastAsia" w:ascii="黑体" w:eastAsia="黑体"/>
          <w:b/>
          <w:bCs/>
          <w:sz w:val="32"/>
          <w:szCs w:val="32"/>
        </w:rPr>
        <w:t>四、项目绩效情况</w:t>
      </w:r>
      <w:bookmarkEnd w:id="164"/>
      <w:bookmarkEnd w:id="165"/>
    </w:p>
    <w:p w14:paraId="731AE182">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（一）项目完成情况</w:t>
      </w:r>
    </w:p>
    <w:p w14:paraId="71EC3F31">
      <w:pPr>
        <w:pStyle w:val="28"/>
        <w:widowControl w:val="0"/>
        <w:spacing w:after="0" w:line="360" w:lineRule="auto"/>
        <w:ind w:firstLine="640" w:firstLineChars="0"/>
        <w:jc w:val="both"/>
        <w:rPr>
          <w:rFonts w:ascii="Times New Roman" w:hAnsi="Times New Roman" w:eastAsia="Arial Unicode MS"/>
          <w:sz w:val="30"/>
          <w:szCs w:val="30"/>
        </w:rPr>
      </w:pPr>
      <w:r>
        <w:rPr>
          <w:rFonts w:hint="eastAsia" w:ascii="仿宋" w:eastAsia="仿宋" w:cs="楷体"/>
          <w:sz w:val="32"/>
          <w:szCs w:val="32"/>
        </w:rPr>
        <w:t>经过前期的摸底统计、核算、公示、兑现，</w:t>
      </w:r>
      <w:r>
        <w:rPr>
          <w:rFonts w:ascii="仿宋_GB2312" w:eastAsia="仿宋_GB2312" w:cs="仿宋"/>
          <w:bCs/>
          <w:color w:val="000000"/>
          <w:sz w:val="30"/>
          <w:szCs w:val="30"/>
          <w:highlight w:val="none"/>
          <w:lang w:val="en-US" w:eastAsia="zh-CN"/>
        </w:rPr>
        <w:t>该</w:t>
      </w:r>
      <w:r>
        <w:rPr>
          <w:rFonts w:hint="eastAsia" w:ascii="仿宋_GB2312" w:eastAsia="仿宋_GB2312"/>
          <w:sz w:val="32"/>
          <w:szCs w:val="32"/>
          <w:lang w:val="en-US" w:eastAsia="zh-CN"/>
        </w:rPr>
        <w:t>项目内容合理</w:t>
      </w:r>
      <w:r>
        <w:rPr>
          <w:rFonts w:ascii="仿宋_GB2312" w:eastAsia="仿宋_GB2312"/>
          <w:sz w:val="32"/>
          <w:szCs w:val="32"/>
          <w:lang w:val="en-US" w:eastAsia="zh-CN"/>
        </w:rPr>
        <w:t>、</w:t>
      </w:r>
      <w:r>
        <w:rPr>
          <w:rFonts w:hint="eastAsia" w:ascii="仿宋_GB2312" w:eastAsia="仿宋_GB2312"/>
          <w:sz w:val="32"/>
          <w:szCs w:val="32"/>
          <w:lang w:val="en-US" w:eastAsia="zh-CN"/>
        </w:rPr>
        <w:t>绩效目标合理明晰，</w:t>
      </w:r>
      <w:r>
        <w:rPr>
          <w:rFonts w:ascii="仿宋_GB2312" w:eastAsia="仿宋_GB2312"/>
          <w:sz w:val="32"/>
          <w:szCs w:val="32"/>
          <w:lang w:val="en-US" w:eastAsia="zh-CN"/>
        </w:rPr>
        <w:t>符合项目资金使用管理制度，</w:t>
      </w:r>
      <w:r>
        <w:rPr>
          <w:rFonts w:hint="eastAsia" w:ascii="仿宋" w:eastAsia="仿宋" w:cs="楷体"/>
          <w:sz w:val="32"/>
          <w:szCs w:val="32"/>
        </w:rPr>
        <w:t>完成质量较好。</w:t>
      </w:r>
    </w:p>
    <w:p w14:paraId="16FFDCEC">
      <w:pPr>
        <w:widowControl w:val="0"/>
        <w:spacing w:after="0" w:line="360" w:lineRule="auto"/>
        <w:ind w:firstLine="643" w:firstLineChars="200"/>
        <w:jc w:val="both"/>
        <w:rPr>
          <w:rFonts w:hint="eastAsia" w:ascii="楷体" w:eastAsia="楷体"/>
          <w:b/>
          <w:bCs/>
          <w:sz w:val="32"/>
          <w:szCs w:val="32"/>
        </w:rPr>
      </w:pPr>
      <w:r>
        <w:rPr>
          <w:rFonts w:hint="eastAsia" w:ascii="楷体" w:eastAsia="楷体"/>
          <w:b/>
          <w:bCs/>
          <w:sz w:val="32"/>
          <w:szCs w:val="32"/>
        </w:rPr>
        <w:t>（二）项目效益情况</w:t>
      </w:r>
    </w:p>
    <w:p w14:paraId="3BFA99A2">
      <w:pPr>
        <w:widowControl w:val="0"/>
        <w:spacing w:after="0" w:line="360" w:lineRule="auto"/>
        <w:ind w:firstLine="640" w:firstLineChars="200"/>
        <w:jc w:val="both"/>
        <w:rPr>
          <w:rFonts w:ascii="仿宋" w:eastAsia="仿宋" w:cs="楷体"/>
          <w:sz w:val="32"/>
          <w:szCs w:val="32"/>
        </w:rPr>
      </w:pPr>
      <w:r>
        <w:rPr>
          <w:rFonts w:ascii="仿宋_GB2312" w:eastAsia="仿宋_GB2312"/>
          <w:sz w:val="32"/>
          <w:szCs w:val="32"/>
          <w:lang w:val="en-US" w:eastAsia="zh-CN"/>
        </w:rPr>
        <w:t>该</w:t>
      </w:r>
      <w:r>
        <w:rPr>
          <w:rFonts w:hint="eastAsia" w:ascii="仿宋_GB2312" w:eastAsia="仿宋_GB2312"/>
          <w:sz w:val="32"/>
          <w:szCs w:val="32"/>
          <w:lang w:val="en-US" w:eastAsia="zh-CN"/>
        </w:rPr>
        <w:t>项目社会效益显著，可持续影响明显，</w:t>
      </w:r>
      <w:r>
        <w:rPr>
          <w:rFonts w:hint="eastAsia" w:ascii="仿宋" w:eastAsia="仿宋" w:cs="楷体"/>
          <w:sz w:val="32"/>
          <w:szCs w:val="32"/>
        </w:rPr>
        <w:t>降低了农村客运车辆的保险投入成本</w:t>
      </w:r>
      <w:r>
        <w:rPr>
          <w:rFonts w:ascii="仿宋" w:eastAsia="仿宋" w:cs="楷体"/>
          <w:sz w:val="32"/>
          <w:szCs w:val="32"/>
        </w:rPr>
        <w:t>，</w:t>
      </w:r>
      <w:r>
        <w:rPr>
          <w:rFonts w:hint="eastAsia" w:ascii="仿宋" w:eastAsia="仿宋"/>
          <w:sz w:val="32"/>
          <w:szCs w:val="32"/>
        </w:rPr>
        <w:t>减轻了农村客运经营者的运营压力，</w:t>
      </w:r>
      <w:r>
        <w:rPr>
          <w:rFonts w:ascii="仿宋" w:eastAsia="仿宋"/>
          <w:sz w:val="32"/>
          <w:szCs w:val="32"/>
        </w:rPr>
        <w:t>进一步</w:t>
      </w:r>
      <w:r>
        <w:rPr>
          <w:rFonts w:hint="eastAsia" w:ascii="仿宋" w:eastAsia="仿宋"/>
          <w:spacing w:val="8"/>
          <w:sz w:val="32"/>
          <w:szCs w:val="32"/>
          <w:shd w:val="clear" w:color="auto" w:fill="FFFFFF"/>
        </w:rPr>
        <w:t>保障广大农村群众的安全、经济、便捷出行</w:t>
      </w:r>
      <w:r>
        <w:rPr>
          <w:rFonts w:ascii="仿宋" w:eastAsia="仿宋"/>
          <w:spacing w:val="8"/>
          <w:sz w:val="32"/>
          <w:szCs w:val="32"/>
          <w:shd w:val="clear" w:color="auto" w:fill="FFFFFF"/>
        </w:rPr>
        <w:t>。</w:t>
      </w:r>
    </w:p>
    <w:p w14:paraId="79B82422">
      <w:pPr>
        <w:widowControl w:val="0"/>
        <w:spacing w:after="0" w:line="360" w:lineRule="auto"/>
        <w:ind w:firstLine="643" w:firstLineChars="200"/>
        <w:jc w:val="both"/>
        <w:outlineLvl w:val="1"/>
        <w:rPr>
          <w:rFonts w:hint="eastAsia" w:ascii="黑体" w:eastAsia="黑体"/>
          <w:b/>
          <w:bCs/>
          <w:sz w:val="32"/>
          <w:szCs w:val="32"/>
        </w:rPr>
      </w:pPr>
      <w:bookmarkStart w:id="166" w:name="_Toc4503"/>
      <w:bookmarkStart w:id="167" w:name="_Toc4000"/>
      <w:r>
        <w:rPr>
          <w:rFonts w:hint="eastAsia" w:ascii="黑体" w:eastAsia="黑体"/>
          <w:b/>
          <w:bCs/>
          <w:sz w:val="32"/>
          <w:szCs w:val="32"/>
        </w:rPr>
        <w:t>五、评价结论及建议</w:t>
      </w:r>
      <w:bookmarkEnd w:id="166"/>
      <w:bookmarkEnd w:id="167"/>
    </w:p>
    <w:p w14:paraId="1266C371">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（一）评价结论</w:t>
      </w:r>
    </w:p>
    <w:p w14:paraId="34F1BDB9">
      <w:pPr>
        <w:pStyle w:val="14"/>
        <w:spacing w:beforeAutospacing="0" w:after="0" w:afterAutospacing="0" w:line="360" w:lineRule="auto"/>
        <w:ind w:firstLine="640" w:firstLineChars="200"/>
        <w:rPr>
          <w:rFonts w:hint="eastAsia" w:ascii="仿宋" w:eastAsia="仿宋"/>
          <w:sz w:val="32"/>
          <w:szCs w:val="32"/>
        </w:rPr>
      </w:pPr>
      <w:r>
        <w:rPr>
          <w:rFonts w:ascii="仿宋" w:eastAsia="仿宋"/>
          <w:sz w:val="32"/>
          <w:szCs w:val="32"/>
        </w:rPr>
        <w:t>优。</w:t>
      </w:r>
    </w:p>
    <w:p w14:paraId="48EC18D9">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（二）存在的问题</w:t>
      </w:r>
    </w:p>
    <w:p w14:paraId="70B3C7E2">
      <w:pPr>
        <w:pStyle w:val="28"/>
        <w:widowControl w:val="0"/>
        <w:spacing w:after="0" w:line="360" w:lineRule="auto"/>
        <w:ind w:firstLine="640" w:firstLineChars="0"/>
        <w:jc w:val="both"/>
        <w:rPr>
          <w:rFonts w:ascii="仿宋" w:eastAsia="仿宋"/>
          <w:sz w:val="32"/>
          <w:szCs w:val="32"/>
        </w:rPr>
      </w:pPr>
      <w:r>
        <w:rPr>
          <w:rFonts w:hint="eastAsia" w:ascii="仿宋" w:eastAsia="仿宋"/>
          <w:sz w:val="32"/>
          <w:szCs w:val="32"/>
        </w:rPr>
        <w:t>由于农村人口比例较大，居住分散且交通基础设施建设落后，实载率得不到保障，导致农村客运班线经营成本较高，加之经营者素质参差不齐，行业管理难度较大。</w:t>
      </w:r>
    </w:p>
    <w:p w14:paraId="2A16B53F">
      <w:pPr>
        <w:spacing w:after="0" w:line="360" w:lineRule="auto"/>
        <w:ind w:firstLine="643" w:firstLineChars="200"/>
        <w:rPr>
          <w:rFonts w:hint="eastAsia" w:ascii="楷体" w:eastAsia="楷体"/>
          <w:b/>
          <w:bCs/>
          <w:sz w:val="32"/>
          <w:szCs w:val="32"/>
        </w:rPr>
      </w:pPr>
      <w:r>
        <w:rPr>
          <w:rFonts w:hint="eastAsia" w:ascii="楷体" w:eastAsia="楷体"/>
          <w:b/>
          <w:bCs/>
          <w:sz w:val="32"/>
          <w:szCs w:val="32"/>
        </w:rPr>
        <w:t>（三）相关建议</w:t>
      </w:r>
    </w:p>
    <w:p w14:paraId="72282003">
      <w:pPr>
        <w:pStyle w:val="14"/>
        <w:spacing w:beforeAutospacing="0" w:after="0" w:afterAutospacing="0" w:line="360" w:lineRule="auto"/>
        <w:ind w:firstLine="640" w:firstLineChars="200"/>
        <w:rPr>
          <w:rFonts w:hint="eastAsia" w:ascii="仿宋" w:eastAsia="仿宋"/>
          <w:sz w:val="32"/>
          <w:szCs w:val="32"/>
        </w:rPr>
      </w:pPr>
      <w:r>
        <w:rPr>
          <w:rFonts w:hint="eastAsia" w:ascii="仿宋" w:eastAsia="仿宋"/>
          <w:sz w:val="32"/>
          <w:szCs w:val="32"/>
        </w:rPr>
        <w:t>进一步加大农村客运的</w:t>
      </w:r>
      <w:r>
        <w:rPr>
          <w:rFonts w:ascii="仿宋" w:eastAsia="仿宋"/>
          <w:sz w:val="32"/>
          <w:szCs w:val="32"/>
        </w:rPr>
        <w:t>财政补贴投入</w:t>
      </w:r>
      <w:r>
        <w:rPr>
          <w:rFonts w:hint="eastAsia" w:ascii="仿宋" w:eastAsia="仿宋"/>
          <w:sz w:val="32"/>
          <w:szCs w:val="32"/>
        </w:rPr>
        <w:t>。</w:t>
      </w:r>
    </w:p>
    <w:p w14:paraId="031B61E8">
      <w:pPr>
        <w:rPr>
          <w:rFonts w:hint="eastAsia"/>
        </w:rPr>
      </w:pPr>
      <w:r>
        <w:rPr>
          <w:rFonts w:hint="eastAsia"/>
        </w:rPr>
        <w:br w:type="page"/>
      </w:r>
    </w:p>
    <w:p w14:paraId="3E1E624D">
      <w:pPr>
        <w:jc w:val="center"/>
        <w:outlineLvl w:val="0"/>
        <w:rPr>
          <w:rFonts w:hint="eastAsia" w:ascii="Arial Unicode MS" w:eastAsia="Arial Unicode MS"/>
          <w:sz w:val="36"/>
          <w:szCs w:val="36"/>
        </w:rPr>
      </w:pPr>
      <w:bookmarkStart w:id="168" w:name="_Toc2326"/>
      <w:bookmarkStart w:id="169" w:name="_Toc2995"/>
      <w:r>
        <w:rPr>
          <w:rFonts w:hint="eastAsia" w:ascii="Arial Unicode MS" w:eastAsia="Arial Unicode MS"/>
          <w:sz w:val="36"/>
          <w:szCs w:val="36"/>
        </w:rPr>
        <w:t>射洪市交通运输局道路运输管理所</w:t>
      </w:r>
      <w:bookmarkEnd w:id="168"/>
      <w:bookmarkEnd w:id="169"/>
    </w:p>
    <w:tbl>
      <w:tblPr>
        <w:tblStyle w:val="16"/>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556"/>
        <w:gridCol w:w="955"/>
        <w:gridCol w:w="1560"/>
        <w:gridCol w:w="1170"/>
        <w:gridCol w:w="1082"/>
        <w:gridCol w:w="887"/>
        <w:gridCol w:w="1761"/>
      </w:tblGrid>
      <w:tr w14:paraId="157D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tcBorders>
              <w:top w:val="nil"/>
              <w:left w:val="nil"/>
              <w:bottom w:val="nil"/>
              <w:right w:val="nil"/>
            </w:tcBorders>
            <w:vAlign w:val="center"/>
          </w:tcPr>
          <w:p w14:paraId="3CF31B4A">
            <w:pPr>
              <w:adjustRightInd/>
              <w:snapToGrid/>
              <w:spacing w:after="0"/>
              <w:jc w:val="center"/>
              <w:textAlignment w:val="center"/>
              <w:rPr>
                <w:rFonts w:ascii="宋体" w:hAnsi="宋体" w:eastAsia="Arial Unicode MS"/>
                <w:color w:val="000000"/>
                <w:szCs w:val="32"/>
              </w:rPr>
            </w:pPr>
            <w:r>
              <w:rPr>
                <w:rFonts w:ascii="宋体" w:hAnsi="宋体" w:eastAsia="Arial Unicode MS" w:cs="宋体"/>
                <w:color w:val="000000"/>
                <w:sz w:val="36"/>
                <w:szCs w:val="36"/>
              </w:rPr>
              <w:t>2023年农村客运保险补贴</w:t>
            </w:r>
            <w:r>
              <w:rPr>
                <w:rFonts w:hint="eastAsia" w:ascii="宋体" w:hAnsi="宋体" w:eastAsia="Arial Unicode MS" w:cs="宋体"/>
                <w:color w:val="000000"/>
                <w:sz w:val="36"/>
                <w:szCs w:val="36"/>
              </w:rPr>
              <w:t>项目支出绩效自评表</w:t>
            </w:r>
          </w:p>
        </w:tc>
      </w:tr>
      <w:tr w14:paraId="7C03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00" w:type="pct"/>
            <w:gridSpan w:val="8"/>
            <w:tcBorders>
              <w:top w:val="nil"/>
              <w:left w:val="nil"/>
              <w:right w:val="nil"/>
            </w:tcBorders>
          </w:tcPr>
          <w:p w14:paraId="49EB0085">
            <w:pPr>
              <w:adjustRightInd/>
              <w:snapToGrid/>
              <w:spacing w:after="0"/>
              <w:jc w:val="center"/>
              <w:textAlignment w:val="top"/>
              <w:rPr>
                <w:rFonts w:ascii="宋体" w:hAnsi="宋体" w:eastAsia="Arial Unicode MS" w:cs="Arial Unicode MS"/>
                <w:color w:val="000000"/>
                <w:sz w:val="18"/>
                <w:szCs w:val="18"/>
              </w:rPr>
            </w:pPr>
            <w:r>
              <w:rPr>
                <w:rFonts w:hint="eastAsia" w:ascii="宋体" w:hAnsi="宋体" w:eastAsia="Arial Unicode MS" w:cs="Arial Unicode MS"/>
                <w:color w:val="000000"/>
                <w:sz w:val="18"/>
                <w:szCs w:val="18"/>
              </w:rPr>
              <w:t>（</w:t>
            </w:r>
            <w:r>
              <w:rPr>
                <w:rFonts w:ascii="宋体" w:hAnsi="宋体" w:eastAsia="Arial Unicode MS" w:cs="Arial Unicode MS"/>
                <w:color w:val="000000"/>
                <w:sz w:val="18"/>
                <w:szCs w:val="18"/>
              </w:rPr>
              <w:t>2023</w:t>
            </w:r>
            <w:r>
              <w:rPr>
                <w:rFonts w:hint="eastAsia" w:ascii="宋体" w:hAnsi="宋体" w:eastAsia="Arial Unicode MS" w:cs="Arial Unicode MS"/>
                <w:color w:val="000000"/>
                <w:sz w:val="18"/>
                <w:szCs w:val="18"/>
              </w:rPr>
              <w:t>年度）</w:t>
            </w:r>
          </w:p>
        </w:tc>
      </w:tr>
      <w:tr w14:paraId="68F0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4" w:type="pct"/>
            <w:gridSpan w:val="3"/>
            <w:tcBorders>
              <w:top w:val="single" w:color="auto" w:sz="4" w:space="0"/>
              <w:left w:val="single" w:color="auto" w:sz="4" w:space="0"/>
              <w:right w:val="single" w:color="auto" w:sz="4" w:space="0"/>
            </w:tcBorders>
            <w:vAlign w:val="center"/>
          </w:tcPr>
          <w:p w14:paraId="4D023576">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项目名称</w:t>
            </w:r>
          </w:p>
        </w:tc>
        <w:tc>
          <w:tcPr>
            <w:tcW w:w="3705" w:type="pct"/>
            <w:gridSpan w:val="5"/>
            <w:tcBorders>
              <w:top w:val="single" w:color="auto" w:sz="4" w:space="0"/>
              <w:left w:val="single" w:color="auto" w:sz="4" w:space="0"/>
              <w:right w:val="single" w:color="auto" w:sz="4" w:space="0"/>
            </w:tcBorders>
            <w:vAlign w:val="center"/>
          </w:tcPr>
          <w:p w14:paraId="5319A075">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2023年农村客运保险补贴</w:t>
            </w:r>
          </w:p>
        </w:tc>
      </w:tr>
      <w:tr w14:paraId="3326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1294" w:type="pct"/>
            <w:gridSpan w:val="3"/>
            <w:tcBorders>
              <w:top w:val="single" w:color="auto" w:sz="4" w:space="0"/>
              <w:left w:val="single" w:color="auto" w:sz="4" w:space="0"/>
              <w:right w:val="single" w:color="auto" w:sz="4" w:space="0"/>
            </w:tcBorders>
            <w:vAlign w:val="center"/>
          </w:tcPr>
          <w:p w14:paraId="5378D128">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项目主管部门</w:t>
            </w:r>
          </w:p>
        </w:tc>
        <w:tc>
          <w:tcPr>
            <w:tcW w:w="1566" w:type="pct"/>
            <w:gridSpan w:val="2"/>
            <w:tcBorders>
              <w:top w:val="single" w:color="auto" w:sz="4" w:space="0"/>
              <w:left w:val="single" w:color="auto" w:sz="4" w:space="0"/>
              <w:right w:val="single" w:color="auto" w:sz="4" w:space="0"/>
            </w:tcBorders>
            <w:vAlign w:val="center"/>
          </w:tcPr>
          <w:p w14:paraId="43018BA3">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射洪市交通运输局</w:t>
            </w:r>
          </w:p>
        </w:tc>
        <w:tc>
          <w:tcPr>
            <w:tcW w:w="621" w:type="pct"/>
            <w:tcBorders>
              <w:top w:val="single" w:color="auto" w:sz="4" w:space="0"/>
              <w:left w:val="single" w:color="auto" w:sz="4" w:space="0"/>
              <w:right w:val="single" w:color="auto" w:sz="4" w:space="0"/>
            </w:tcBorders>
            <w:vAlign w:val="center"/>
          </w:tcPr>
          <w:p w14:paraId="148C464D">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资金使用单位</w:t>
            </w:r>
          </w:p>
        </w:tc>
        <w:tc>
          <w:tcPr>
            <w:tcW w:w="1517" w:type="pct"/>
            <w:gridSpan w:val="2"/>
            <w:tcBorders>
              <w:top w:val="single" w:color="auto" w:sz="4" w:space="0"/>
              <w:left w:val="single" w:color="auto" w:sz="4" w:space="0"/>
              <w:right w:val="single" w:color="auto" w:sz="4" w:space="0"/>
            </w:tcBorders>
            <w:vAlign w:val="center"/>
          </w:tcPr>
          <w:p w14:paraId="1E8E7DDF">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射洪市交通运输局道路运输管理所</w:t>
            </w:r>
          </w:p>
        </w:tc>
      </w:tr>
      <w:tr w14:paraId="415E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4" w:type="pct"/>
            <w:gridSpan w:val="3"/>
            <w:vMerge w:val="restart"/>
            <w:tcBorders>
              <w:top w:val="single" w:color="auto" w:sz="4" w:space="0"/>
              <w:left w:val="single" w:color="auto" w:sz="4" w:space="0"/>
              <w:right w:val="single" w:color="auto" w:sz="4" w:space="0"/>
            </w:tcBorders>
            <w:vAlign w:val="center"/>
          </w:tcPr>
          <w:p w14:paraId="74655294">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项目资金</w:t>
            </w:r>
          </w:p>
          <w:p w14:paraId="6D318422">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（万元）</w:t>
            </w:r>
          </w:p>
        </w:tc>
        <w:tc>
          <w:tcPr>
            <w:tcW w:w="895" w:type="pct"/>
            <w:tcBorders>
              <w:top w:val="single" w:color="auto" w:sz="4" w:space="0"/>
              <w:left w:val="single" w:color="auto" w:sz="4" w:space="0"/>
              <w:right w:val="single" w:color="auto" w:sz="4" w:space="0"/>
            </w:tcBorders>
            <w:vAlign w:val="center"/>
          </w:tcPr>
          <w:p w14:paraId="6C97A4E9">
            <w:pPr>
              <w:adjustRightInd/>
              <w:snapToGrid/>
              <w:spacing w:after="0"/>
              <w:rPr>
                <w:rFonts w:ascii="宋体" w:hAnsi="宋体" w:eastAsia="Arial Unicode MS" w:cs="Arial Unicode MS"/>
                <w:color w:val="000000"/>
                <w:sz w:val="16"/>
                <w:szCs w:val="16"/>
              </w:rPr>
            </w:pPr>
          </w:p>
        </w:tc>
        <w:tc>
          <w:tcPr>
            <w:tcW w:w="670" w:type="pct"/>
            <w:tcBorders>
              <w:top w:val="single" w:color="auto" w:sz="4" w:space="0"/>
              <w:left w:val="single" w:color="auto" w:sz="4" w:space="0"/>
              <w:right w:val="single" w:color="auto" w:sz="4" w:space="0"/>
            </w:tcBorders>
            <w:vAlign w:val="center"/>
          </w:tcPr>
          <w:p w14:paraId="3BE12284">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全年预算数</w:t>
            </w:r>
          </w:p>
        </w:tc>
        <w:tc>
          <w:tcPr>
            <w:tcW w:w="1130" w:type="pct"/>
            <w:gridSpan w:val="2"/>
            <w:tcBorders>
              <w:top w:val="single" w:color="auto" w:sz="4" w:space="0"/>
              <w:left w:val="single" w:color="auto" w:sz="4" w:space="0"/>
              <w:right w:val="single" w:color="auto" w:sz="4" w:space="0"/>
            </w:tcBorders>
            <w:vAlign w:val="center"/>
          </w:tcPr>
          <w:p w14:paraId="4923A32E">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全年执行数</w:t>
            </w:r>
          </w:p>
        </w:tc>
        <w:tc>
          <w:tcPr>
            <w:tcW w:w="1008" w:type="pct"/>
            <w:tcBorders>
              <w:top w:val="single" w:color="auto" w:sz="4" w:space="0"/>
              <w:left w:val="single" w:color="auto" w:sz="4" w:space="0"/>
              <w:right w:val="single" w:color="auto" w:sz="4" w:space="0"/>
            </w:tcBorders>
            <w:vAlign w:val="center"/>
          </w:tcPr>
          <w:p w14:paraId="3FB9DFB3">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预算执行率</w:t>
            </w:r>
          </w:p>
        </w:tc>
      </w:tr>
      <w:tr w14:paraId="441D6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5" w:type="pct"/>
            <w:gridSpan w:val="3"/>
            <w:vMerge w:val="continue"/>
            <w:tcBorders>
              <w:top w:val="single" w:color="auto" w:sz="4" w:space="0"/>
              <w:left w:val="single" w:color="auto" w:sz="4" w:space="0"/>
              <w:right w:val="single" w:color="auto" w:sz="4" w:space="0"/>
            </w:tcBorders>
            <w:vAlign w:val="center"/>
          </w:tcPr>
          <w:p w14:paraId="01DC5B7A"/>
        </w:tc>
        <w:tc>
          <w:tcPr>
            <w:tcW w:w="895" w:type="pct"/>
            <w:tcBorders>
              <w:top w:val="single" w:color="auto" w:sz="4" w:space="0"/>
              <w:left w:val="single" w:color="auto" w:sz="4" w:space="0"/>
              <w:right w:val="single" w:color="auto" w:sz="4" w:space="0"/>
            </w:tcBorders>
            <w:vAlign w:val="center"/>
          </w:tcPr>
          <w:p w14:paraId="6CFF659B">
            <w:pPr>
              <w:adjustRightInd/>
              <w:snapToGrid/>
              <w:spacing w:after="0"/>
              <w:jc w:val="both"/>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年度资金总额：</w:t>
            </w:r>
          </w:p>
        </w:tc>
        <w:tc>
          <w:tcPr>
            <w:tcW w:w="670" w:type="pct"/>
            <w:tcBorders>
              <w:top w:val="single" w:color="auto" w:sz="4" w:space="0"/>
              <w:left w:val="single" w:color="auto" w:sz="4" w:space="0"/>
              <w:right w:val="single" w:color="auto" w:sz="4" w:space="0"/>
            </w:tcBorders>
            <w:vAlign w:val="center"/>
          </w:tcPr>
          <w:p w14:paraId="6DF5C588">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55</w:t>
            </w:r>
          </w:p>
        </w:tc>
        <w:tc>
          <w:tcPr>
            <w:tcW w:w="1130" w:type="pct"/>
            <w:gridSpan w:val="2"/>
            <w:tcBorders>
              <w:top w:val="single" w:color="auto" w:sz="4" w:space="0"/>
              <w:left w:val="single" w:color="auto" w:sz="4" w:space="0"/>
              <w:right w:val="single" w:color="auto" w:sz="4" w:space="0"/>
            </w:tcBorders>
            <w:vAlign w:val="center"/>
          </w:tcPr>
          <w:p w14:paraId="5E7BFA0A">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55</w:t>
            </w:r>
          </w:p>
        </w:tc>
        <w:tc>
          <w:tcPr>
            <w:tcW w:w="1008" w:type="pct"/>
            <w:tcBorders>
              <w:top w:val="single" w:color="auto" w:sz="4" w:space="0"/>
              <w:left w:val="single" w:color="auto" w:sz="4" w:space="0"/>
              <w:right w:val="single" w:color="auto" w:sz="4" w:space="0"/>
            </w:tcBorders>
            <w:vAlign w:val="center"/>
          </w:tcPr>
          <w:p w14:paraId="23F5624F">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100%</w:t>
            </w:r>
          </w:p>
        </w:tc>
      </w:tr>
      <w:tr w14:paraId="3B91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1295" w:type="pct"/>
            <w:gridSpan w:val="3"/>
            <w:vMerge w:val="continue"/>
            <w:tcBorders>
              <w:top w:val="single" w:color="auto" w:sz="4" w:space="0"/>
              <w:left w:val="single" w:color="auto" w:sz="4" w:space="0"/>
              <w:right w:val="single" w:color="auto" w:sz="4" w:space="0"/>
            </w:tcBorders>
            <w:vAlign w:val="center"/>
          </w:tcPr>
          <w:p w14:paraId="01466202"/>
        </w:tc>
        <w:tc>
          <w:tcPr>
            <w:tcW w:w="895" w:type="pct"/>
            <w:tcBorders>
              <w:top w:val="single" w:color="auto" w:sz="4" w:space="0"/>
              <w:left w:val="single" w:color="auto" w:sz="4" w:space="0"/>
              <w:right w:val="single" w:color="auto" w:sz="4" w:space="0"/>
            </w:tcBorders>
            <w:vAlign w:val="center"/>
          </w:tcPr>
          <w:p w14:paraId="09C37EAC">
            <w:pPr>
              <w:adjustRightInd/>
              <w:snapToGrid/>
              <w:spacing w:after="0"/>
              <w:textAlignment w:val="center"/>
              <w:rPr>
                <w:rFonts w:ascii="宋体" w:hAnsi="宋体" w:eastAsia="Arial Unicode MS" w:cs="Arial Unicode MS"/>
                <w:color w:val="000000"/>
                <w:sz w:val="16"/>
                <w:szCs w:val="16"/>
              </w:rPr>
            </w:pPr>
            <w:r>
              <w:rPr>
                <w:rStyle w:val="42"/>
                <w:rFonts w:hint="eastAsia" w:eastAsia="Arial Unicode MS" w:cs="Arial Unicode MS"/>
                <w:szCs w:val="16"/>
              </w:rPr>
              <w:t>其中：中央、省补助</w:t>
            </w:r>
          </w:p>
        </w:tc>
        <w:tc>
          <w:tcPr>
            <w:tcW w:w="670" w:type="pct"/>
            <w:tcBorders>
              <w:top w:val="single" w:color="auto" w:sz="4" w:space="0"/>
              <w:left w:val="single" w:color="auto" w:sz="4" w:space="0"/>
              <w:right w:val="single" w:color="auto" w:sz="4" w:space="0"/>
            </w:tcBorders>
            <w:vAlign w:val="center"/>
          </w:tcPr>
          <w:p w14:paraId="5B4ED19D">
            <w:pPr>
              <w:adjustRightInd/>
              <w:snapToGrid/>
              <w:spacing w:after="0"/>
              <w:jc w:val="center"/>
              <w:rPr>
                <w:rFonts w:ascii="宋体" w:hAnsi="宋体" w:eastAsia="Arial Unicode MS" w:cs="Arial Unicode MS"/>
                <w:color w:val="000000"/>
                <w:sz w:val="16"/>
                <w:szCs w:val="16"/>
              </w:rPr>
            </w:pPr>
          </w:p>
        </w:tc>
        <w:tc>
          <w:tcPr>
            <w:tcW w:w="1130" w:type="pct"/>
            <w:gridSpan w:val="2"/>
            <w:tcBorders>
              <w:top w:val="single" w:color="auto" w:sz="4" w:space="0"/>
              <w:left w:val="single" w:color="auto" w:sz="4" w:space="0"/>
              <w:right w:val="single" w:color="auto" w:sz="4" w:space="0"/>
            </w:tcBorders>
            <w:vAlign w:val="center"/>
          </w:tcPr>
          <w:p w14:paraId="15BDD9E4">
            <w:pPr>
              <w:adjustRightInd/>
              <w:snapToGrid/>
              <w:spacing w:after="0"/>
              <w:jc w:val="center"/>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1B233A5A">
            <w:pPr>
              <w:adjustRightInd/>
              <w:snapToGrid/>
              <w:spacing w:after="0"/>
              <w:rPr>
                <w:rFonts w:ascii="宋体" w:hAnsi="宋体" w:eastAsia="Arial Unicode MS" w:cs="Arial Unicode MS"/>
                <w:color w:val="000000"/>
                <w:sz w:val="16"/>
                <w:szCs w:val="16"/>
              </w:rPr>
            </w:pPr>
          </w:p>
        </w:tc>
      </w:tr>
      <w:tr w14:paraId="209D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5" w:type="pct"/>
            <w:gridSpan w:val="3"/>
            <w:vMerge w:val="continue"/>
            <w:tcBorders>
              <w:top w:val="single" w:color="auto" w:sz="4" w:space="0"/>
              <w:left w:val="single" w:color="auto" w:sz="4" w:space="0"/>
              <w:right w:val="single" w:color="auto" w:sz="4" w:space="0"/>
            </w:tcBorders>
            <w:vAlign w:val="center"/>
          </w:tcPr>
          <w:p w14:paraId="08D1DB03"/>
        </w:tc>
        <w:tc>
          <w:tcPr>
            <w:tcW w:w="895" w:type="pct"/>
            <w:tcBorders>
              <w:top w:val="single" w:color="auto" w:sz="4" w:space="0"/>
              <w:left w:val="single" w:color="auto" w:sz="4" w:space="0"/>
              <w:right w:val="single" w:color="auto" w:sz="4" w:space="0"/>
            </w:tcBorders>
            <w:vAlign w:val="center"/>
          </w:tcPr>
          <w:p w14:paraId="12175B58">
            <w:pPr>
              <w:adjustRightInd/>
              <w:snapToGrid/>
              <w:spacing w:after="0"/>
              <w:ind w:firstLine="320" w:firstLineChars="200"/>
              <w:textAlignment w:val="center"/>
              <w:rPr>
                <w:rFonts w:ascii="宋体" w:hAnsi="宋体" w:eastAsia="Arial Unicode MS" w:cs="Arial Unicode MS"/>
                <w:color w:val="000000"/>
                <w:sz w:val="16"/>
                <w:szCs w:val="16"/>
              </w:rPr>
            </w:pPr>
            <w:r>
              <w:rPr>
                <w:rStyle w:val="42"/>
                <w:rFonts w:hint="eastAsia" w:eastAsia="Arial Unicode MS" w:cs="Arial Unicode MS"/>
                <w:szCs w:val="16"/>
              </w:rPr>
              <w:t>市级财政资金</w:t>
            </w:r>
          </w:p>
        </w:tc>
        <w:tc>
          <w:tcPr>
            <w:tcW w:w="670" w:type="pct"/>
            <w:tcBorders>
              <w:top w:val="single" w:color="auto" w:sz="4" w:space="0"/>
              <w:left w:val="single" w:color="auto" w:sz="4" w:space="0"/>
              <w:right w:val="single" w:color="auto" w:sz="4" w:space="0"/>
            </w:tcBorders>
            <w:vAlign w:val="center"/>
          </w:tcPr>
          <w:p w14:paraId="159D9946">
            <w:pPr>
              <w:adjustRightInd/>
              <w:snapToGrid/>
              <w:spacing w:after="0"/>
              <w:jc w:val="center"/>
              <w:rPr>
                <w:rFonts w:ascii="宋体" w:hAnsi="宋体" w:eastAsia="Arial Unicode MS" w:cs="Arial Unicode MS"/>
                <w:color w:val="000000"/>
                <w:sz w:val="16"/>
                <w:szCs w:val="16"/>
              </w:rPr>
            </w:pPr>
          </w:p>
        </w:tc>
        <w:tc>
          <w:tcPr>
            <w:tcW w:w="1130" w:type="pct"/>
            <w:gridSpan w:val="2"/>
            <w:tcBorders>
              <w:top w:val="single" w:color="auto" w:sz="4" w:space="0"/>
              <w:left w:val="single" w:color="auto" w:sz="4" w:space="0"/>
              <w:right w:val="single" w:color="auto" w:sz="4" w:space="0"/>
            </w:tcBorders>
            <w:vAlign w:val="center"/>
          </w:tcPr>
          <w:p w14:paraId="39060188">
            <w:pPr>
              <w:adjustRightInd/>
              <w:snapToGrid/>
              <w:spacing w:after="0"/>
              <w:jc w:val="center"/>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446D5070">
            <w:pPr>
              <w:adjustRightInd/>
              <w:snapToGrid/>
              <w:spacing w:after="0"/>
              <w:rPr>
                <w:rFonts w:ascii="宋体" w:hAnsi="宋体" w:eastAsia="Arial Unicode MS" w:cs="Arial Unicode MS"/>
                <w:color w:val="000000"/>
                <w:sz w:val="16"/>
                <w:szCs w:val="16"/>
              </w:rPr>
            </w:pPr>
          </w:p>
        </w:tc>
      </w:tr>
      <w:tr w14:paraId="5C70B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5" w:type="pct"/>
            <w:gridSpan w:val="3"/>
            <w:vMerge w:val="continue"/>
            <w:tcBorders>
              <w:top w:val="single" w:color="auto" w:sz="4" w:space="0"/>
              <w:left w:val="single" w:color="auto" w:sz="4" w:space="0"/>
              <w:right w:val="single" w:color="auto" w:sz="4" w:space="0"/>
            </w:tcBorders>
            <w:vAlign w:val="center"/>
          </w:tcPr>
          <w:p w14:paraId="4BA3E9AB"/>
        </w:tc>
        <w:tc>
          <w:tcPr>
            <w:tcW w:w="895" w:type="pct"/>
            <w:tcBorders>
              <w:top w:val="single" w:color="auto" w:sz="4" w:space="0"/>
              <w:left w:val="single" w:color="auto" w:sz="4" w:space="0"/>
              <w:right w:val="single" w:color="auto" w:sz="4" w:space="0"/>
            </w:tcBorders>
            <w:vAlign w:val="center"/>
          </w:tcPr>
          <w:p w14:paraId="43351FAE">
            <w:pPr>
              <w:adjustRightInd/>
              <w:snapToGrid/>
              <w:spacing w:after="0"/>
              <w:textAlignment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 xml:space="preserve">    </w:t>
            </w:r>
            <w:r>
              <w:rPr>
                <w:rFonts w:hint="eastAsia" w:ascii="宋体" w:hAnsi="宋体" w:eastAsia="Arial Unicode MS" w:cs="Arial Unicode MS"/>
                <w:color w:val="000000"/>
                <w:sz w:val="16"/>
                <w:szCs w:val="16"/>
              </w:rPr>
              <w:t>县级财政资金</w:t>
            </w:r>
          </w:p>
        </w:tc>
        <w:tc>
          <w:tcPr>
            <w:tcW w:w="670" w:type="pct"/>
            <w:tcBorders>
              <w:top w:val="single" w:color="auto" w:sz="4" w:space="0"/>
              <w:left w:val="single" w:color="auto" w:sz="4" w:space="0"/>
              <w:right w:val="single" w:color="auto" w:sz="4" w:space="0"/>
            </w:tcBorders>
            <w:vAlign w:val="center"/>
          </w:tcPr>
          <w:p w14:paraId="084E0391">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55</w:t>
            </w:r>
          </w:p>
        </w:tc>
        <w:tc>
          <w:tcPr>
            <w:tcW w:w="1130" w:type="pct"/>
            <w:gridSpan w:val="2"/>
            <w:tcBorders>
              <w:top w:val="single" w:color="auto" w:sz="4" w:space="0"/>
              <w:left w:val="single" w:color="auto" w:sz="4" w:space="0"/>
              <w:right w:val="single" w:color="auto" w:sz="4" w:space="0"/>
            </w:tcBorders>
            <w:vAlign w:val="center"/>
          </w:tcPr>
          <w:p w14:paraId="252C9914">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55</w:t>
            </w:r>
          </w:p>
        </w:tc>
        <w:tc>
          <w:tcPr>
            <w:tcW w:w="1008" w:type="pct"/>
            <w:tcBorders>
              <w:top w:val="single" w:color="auto" w:sz="4" w:space="0"/>
              <w:left w:val="single" w:color="auto" w:sz="4" w:space="0"/>
              <w:right w:val="single" w:color="auto" w:sz="4" w:space="0"/>
            </w:tcBorders>
            <w:vAlign w:val="center"/>
          </w:tcPr>
          <w:p w14:paraId="101A3545">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100%</w:t>
            </w:r>
          </w:p>
        </w:tc>
      </w:tr>
      <w:tr w14:paraId="2475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295" w:type="pct"/>
            <w:gridSpan w:val="3"/>
            <w:vMerge w:val="continue"/>
            <w:tcBorders>
              <w:top w:val="single" w:color="auto" w:sz="4" w:space="0"/>
              <w:left w:val="single" w:color="auto" w:sz="4" w:space="0"/>
              <w:right w:val="single" w:color="auto" w:sz="4" w:space="0"/>
            </w:tcBorders>
            <w:vAlign w:val="center"/>
          </w:tcPr>
          <w:p w14:paraId="5EA77D1E"/>
        </w:tc>
        <w:tc>
          <w:tcPr>
            <w:tcW w:w="895" w:type="pct"/>
            <w:tcBorders>
              <w:top w:val="single" w:color="auto" w:sz="4" w:space="0"/>
              <w:left w:val="single" w:color="auto" w:sz="4" w:space="0"/>
              <w:right w:val="single" w:color="auto" w:sz="4" w:space="0"/>
            </w:tcBorders>
            <w:vAlign w:val="center"/>
          </w:tcPr>
          <w:p w14:paraId="5E78F107">
            <w:pPr>
              <w:adjustRightInd/>
              <w:snapToGrid/>
              <w:spacing w:after="0"/>
              <w:textAlignment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 xml:space="preserve">    </w:t>
            </w:r>
            <w:r>
              <w:rPr>
                <w:rStyle w:val="42"/>
                <w:rFonts w:hint="eastAsia" w:eastAsia="Arial Unicode MS" w:cs="Arial Unicode MS"/>
                <w:szCs w:val="16"/>
              </w:rPr>
              <w:t>其他资金</w:t>
            </w:r>
          </w:p>
        </w:tc>
        <w:tc>
          <w:tcPr>
            <w:tcW w:w="670" w:type="pct"/>
            <w:tcBorders>
              <w:top w:val="single" w:color="auto" w:sz="4" w:space="0"/>
              <w:left w:val="single" w:color="auto" w:sz="4" w:space="0"/>
              <w:right w:val="single" w:color="auto" w:sz="4" w:space="0"/>
            </w:tcBorders>
            <w:vAlign w:val="center"/>
          </w:tcPr>
          <w:p w14:paraId="5063DEBE">
            <w:pPr>
              <w:adjustRightInd/>
              <w:snapToGrid/>
              <w:spacing w:after="0"/>
              <w:jc w:val="center"/>
              <w:rPr>
                <w:rFonts w:ascii="宋体" w:hAnsi="宋体" w:eastAsia="Arial Unicode MS" w:cs="Arial Unicode MS"/>
                <w:color w:val="000000"/>
                <w:sz w:val="16"/>
                <w:szCs w:val="16"/>
              </w:rPr>
            </w:pPr>
          </w:p>
        </w:tc>
        <w:tc>
          <w:tcPr>
            <w:tcW w:w="1130" w:type="pct"/>
            <w:gridSpan w:val="2"/>
            <w:tcBorders>
              <w:top w:val="single" w:color="auto" w:sz="4" w:space="0"/>
              <w:left w:val="single" w:color="auto" w:sz="4" w:space="0"/>
              <w:right w:val="single" w:color="auto" w:sz="4" w:space="0"/>
            </w:tcBorders>
            <w:vAlign w:val="center"/>
          </w:tcPr>
          <w:p w14:paraId="4A1ADABC">
            <w:pPr>
              <w:adjustRightInd/>
              <w:snapToGrid/>
              <w:spacing w:after="0"/>
              <w:jc w:val="center"/>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133C07EE">
            <w:pPr>
              <w:adjustRightInd/>
              <w:snapToGrid/>
              <w:spacing w:after="0"/>
              <w:rPr>
                <w:rFonts w:ascii="宋体" w:hAnsi="宋体" w:eastAsia="Arial Unicode MS" w:cs="Arial Unicode MS"/>
                <w:color w:val="000000"/>
                <w:sz w:val="16"/>
                <w:szCs w:val="16"/>
              </w:rPr>
            </w:pPr>
          </w:p>
        </w:tc>
      </w:tr>
      <w:tr w14:paraId="2041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7" w:type="pct"/>
            <w:vMerge w:val="restart"/>
            <w:tcBorders>
              <w:top w:val="single" w:color="auto" w:sz="4" w:space="0"/>
              <w:left w:val="single" w:color="auto" w:sz="4" w:space="0"/>
              <w:right w:val="single" w:color="auto" w:sz="4" w:space="0"/>
            </w:tcBorders>
            <w:vAlign w:val="center"/>
          </w:tcPr>
          <w:p w14:paraId="3F11BFA2">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总体目标完成情况</w:t>
            </w:r>
          </w:p>
        </w:tc>
        <w:tc>
          <w:tcPr>
            <w:tcW w:w="2433" w:type="pct"/>
            <w:gridSpan w:val="4"/>
            <w:tcBorders>
              <w:top w:val="single" w:color="auto" w:sz="4" w:space="0"/>
              <w:left w:val="single" w:color="auto" w:sz="4" w:space="0"/>
              <w:right w:val="single" w:color="auto" w:sz="4" w:space="0"/>
            </w:tcBorders>
            <w:vAlign w:val="center"/>
          </w:tcPr>
          <w:p w14:paraId="478E4E05">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总体目标</w:t>
            </w:r>
          </w:p>
        </w:tc>
        <w:tc>
          <w:tcPr>
            <w:tcW w:w="2139" w:type="pct"/>
            <w:gridSpan w:val="3"/>
            <w:tcBorders>
              <w:top w:val="single" w:color="auto" w:sz="4" w:space="0"/>
              <w:left w:val="single" w:color="auto" w:sz="4" w:space="0"/>
              <w:right w:val="single" w:color="auto" w:sz="4" w:space="0"/>
            </w:tcBorders>
            <w:vAlign w:val="center"/>
          </w:tcPr>
          <w:p w14:paraId="1050B612">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全年实际完成情况</w:t>
            </w:r>
          </w:p>
        </w:tc>
      </w:tr>
      <w:tr w14:paraId="3163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3" w:hRule="atLeast"/>
          <w:jc w:val="center"/>
        </w:trPr>
        <w:tc>
          <w:tcPr>
            <w:tcW w:w="428" w:type="pct"/>
            <w:vMerge w:val="continue"/>
            <w:tcBorders>
              <w:top w:val="single" w:color="auto" w:sz="4" w:space="0"/>
              <w:left w:val="single" w:color="auto" w:sz="4" w:space="0"/>
              <w:right w:val="single" w:color="auto" w:sz="4" w:space="0"/>
            </w:tcBorders>
            <w:vAlign w:val="center"/>
          </w:tcPr>
          <w:p w14:paraId="78AFE8E7"/>
        </w:tc>
        <w:tc>
          <w:tcPr>
            <w:tcW w:w="2433" w:type="pct"/>
            <w:gridSpan w:val="4"/>
            <w:tcBorders>
              <w:top w:val="single" w:color="auto" w:sz="4" w:space="0"/>
              <w:left w:val="single" w:color="auto" w:sz="4" w:space="0"/>
              <w:right w:val="single" w:color="auto" w:sz="4" w:space="0"/>
            </w:tcBorders>
            <w:vAlign w:val="center"/>
          </w:tcPr>
          <w:p w14:paraId="11E079CC">
            <w:pPr>
              <w:adjustRightInd/>
              <w:snapToGrid/>
              <w:spacing w:after="0" w:line="240" w:lineRule="exact"/>
              <w:rPr>
                <w:rFonts w:ascii="宋体" w:hAnsi="宋体" w:eastAsia="Arial Unicode MS" w:cs="Arial Unicode MS"/>
                <w:color w:val="000000"/>
                <w:sz w:val="16"/>
                <w:szCs w:val="16"/>
              </w:rPr>
            </w:pPr>
            <w:r>
              <w:rPr>
                <w:rFonts w:ascii="宋体" w:hAnsi="宋体" w:eastAsia="Arial Unicode MS" w:cs="Arial Unicode MS"/>
                <w:color w:val="000000"/>
                <w:sz w:val="16"/>
                <w:szCs w:val="16"/>
              </w:rPr>
              <w:t>根据四川省人民政府《关于进一步促进四川省农村公里建管养运协调发展的意见》川府发〔2015〕5号，四川省人民政府《关于进一步加强道路交通安全工作的实施意见》川府发〔2013〕8号，积极发展农村客运。严格落实财政对农村客运车辆按照不低于其保险费金额70%予以补贴。</w:t>
            </w:r>
          </w:p>
        </w:tc>
        <w:tc>
          <w:tcPr>
            <w:tcW w:w="2139" w:type="pct"/>
            <w:gridSpan w:val="3"/>
            <w:tcBorders>
              <w:top w:val="single" w:color="auto" w:sz="4" w:space="0"/>
              <w:left w:val="single" w:color="auto" w:sz="4" w:space="0"/>
              <w:right w:val="single" w:color="auto" w:sz="4" w:space="0"/>
            </w:tcBorders>
            <w:vAlign w:val="center"/>
          </w:tcPr>
          <w:p w14:paraId="244D1524">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严格按年初预算控制金额完成补贴。</w:t>
            </w:r>
          </w:p>
        </w:tc>
      </w:tr>
      <w:tr w14:paraId="0631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27" w:type="pct"/>
            <w:vMerge w:val="restart"/>
            <w:tcBorders>
              <w:top w:val="single" w:color="auto" w:sz="4" w:space="0"/>
              <w:left w:val="single" w:color="auto" w:sz="4" w:space="0"/>
              <w:right w:val="single" w:color="auto" w:sz="4" w:space="0"/>
            </w:tcBorders>
            <w:textDirection w:val="tbRlV"/>
            <w:vAlign w:val="center"/>
          </w:tcPr>
          <w:p w14:paraId="5B01B694">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绩效指标</w:t>
            </w:r>
          </w:p>
        </w:tc>
        <w:tc>
          <w:tcPr>
            <w:tcW w:w="319" w:type="pct"/>
            <w:tcBorders>
              <w:top w:val="single" w:color="auto" w:sz="4" w:space="0"/>
              <w:left w:val="single" w:color="auto" w:sz="4" w:space="0"/>
              <w:right w:val="single" w:color="auto" w:sz="4" w:space="0"/>
            </w:tcBorders>
            <w:vAlign w:val="center"/>
          </w:tcPr>
          <w:p w14:paraId="4D2F527F">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一级</w:t>
            </w:r>
          </w:p>
          <w:p w14:paraId="040D002B">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指标</w:t>
            </w:r>
          </w:p>
        </w:tc>
        <w:tc>
          <w:tcPr>
            <w:tcW w:w="547" w:type="pct"/>
            <w:tcBorders>
              <w:top w:val="single" w:color="auto" w:sz="4" w:space="0"/>
              <w:left w:val="single" w:color="auto" w:sz="4" w:space="0"/>
              <w:right w:val="single" w:color="auto" w:sz="4" w:space="0"/>
            </w:tcBorders>
            <w:vAlign w:val="center"/>
          </w:tcPr>
          <w:p w14:paraId="3BC995C8">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二级指标</w:t>
            </w:r>
          </w:p>
        </w:tc>
        <w:tc>
          <w:tcPr>
            <w:tcW w:w="1566" w:type="pct"/>
            <w:gridSpan w:val="2"/>
            <w:tcBorders>
              <w:top w:val="single" w:color="auto" w:sz="4" w:space="0"/>
              <w:left w:val="single" w:color="auto" w:sz="4" w:space="0"/>
              <w:right w:val="single" w:color="auto" w:sz="4" w:space="0"/>
            </w:tcBorders>
            <w:vAlign w:val="center"/>
          </w:tcPr>
          <w:p w14:paraId="0600BB06">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三级指标</w:t>
            </w:r>
          </w:p>
        </w:tc>
        <w:tc>
          <w:tcPr>
            <w:tcW w:w="621" w:type="pct"/>
            <w:tcBorders>
              <w:top w:val="single" w:color="auto" w:sz="4" w:space="0"/>
              <w:left w:val="single" w:color="auto" w:sz="4" w:space="0"/>
              <w:right w:val="single" w:color="auto" w:sz="4" w:space="0"/>
            </w:tcBorders>
            <w:vAlign w:val="center"/>
          </w:tcPr>
          <w:p w14:paraId="500B5D5A">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指标值</w:t>
            </w:r>
          </w:p>
        </w:tc>
        <w:tc>
          <w:tcPr>
            <w:tcW w:w="508" w:type="pct"/>
            <w:tcBorders>
              <w:top w:val="single" w:color="auto" w:sz="4" w:space="0"/>
              <w:left w:val="single" w:color="auto" w:sz="4" w:space="0"/>
              <w:right w:val="single" w:color="auto" w:sz="4" w:space="0"/>
            </w:tcBorders>
            <w:vAlign w:val="center"/>
          </w:tcPr>
          <w:p w14:paraId="41A7FC2F">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全年实际完成值</w:t>
            </w:r>
          </w:p>
        </w:tc>
        <w:tc>
          <w:tcPr>
            <w:tcW w:w="1008" w:type="pct"/>
            <w:tcBorders>
              <w:top w:val="single" w:color="auto" w:sz="4" w:space="0"/>
              <w:left w:val="single" w:color="auto" w:sz="4" w:space="0"/>
              <w:right w:val="single" w:color="auto" w:sz="4" w:space="0"/>
            </w:tcBorders>
            <w:vAlign w:val="center"/>
          </w:tcPr>
          <w:p w14:paraId="4A2E9CC6">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未完成原因和改进措施</w:t>
            </w:r>
          </w:p>
        </w:tc>
      </w:tr>
      <w:tr w14:paraId="664F5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556927AF"/>
        </w:tc>
        <w:tc>
          <w:tcPr>
            <w:tcW w:w="319" w:type="pct"/>
            <w:vMerge w:val="restart"/>
            <w:tcBorders>
              <w:top w:val="single" w:color="auto" w:sz="4" w:space="0"/>
              <w:left w:val="single" w:color="auto" w:sz="4" w:space="0"/>
              <w:right w:val="single" w:color="auto" w:sz="4" w:space="0"/>
            </w:tcBorders>
            <w:vAlign w:val="center"/>
          </w:tcPr>
          <w:p w14:paraId="03A194F6">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产</w:t>
            </w:r>
          </w:p>
          <w:p w14:paraId="70DDCEB7">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出</w:t>
            </w:r>
          </w:p>
          <w:p w14:paraId="61E41400">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指</w:t>
            </w:r>
          </w:p>
          <w:p w14:paraId="67B07F67">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标</w:t>
            </w:r>
          </w:p>
        </w:tc>
        <w:tc>
          <w:tcPr>
            <w:tcW w:w="547" w:type="pct"/>
            <w:vMerge w:val="restart"/>
            <w:tcBorders>
              <w:top w:val="single" w:color="auto" w:sz="4" w:space="0"/>
              <w:left w:val="single" w:color="auto" w:sz="4" w:space="0"/>
              <w:right w:val="single" w:color="auto" w:sz="4" w:space="0"/>
            </w:tcBorders>
            <w:vAlign w:val="center"/>
          </w:tcPr>
          <w:p w14:paraId="35A0B1AA">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数量指标</w:t>
            </w:r>
          </w:p>
        </w:tc>
        <w:tc>
          <w:tcPr>
            <w:tcW w:w="1566" w:type="pct"/>
            <w:gridSpan w:val="2"/>
            <w:tcBorders>
              <w:top w:val="single" w:color="auto" w:sz="4" w:space="0"/>
              <w:left w:val="single" w:color="auto" w:sz="4" w:space="0"/>
              <w:right w:val="single" w:color="auto" w:sz="4" w:space="0"/>
            </w:tcBorders>
            <w:vAlign w:val="center"/>
          </w:tcPr>
          <w:p w14:paraId="6E9DE110">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受益营运车辆</w:t>
            </w:r>
          </w:p>
        </w:tc>
        <w:tc>
          <w:tcPr>
            <w:tcW w:w="621" w:type="pct"/>
            <w:tcBorders>
              <w:top w:val="single" w:color="auto" w:sz="4" w:space="0"/>
              <w:left w:val="single" w:color="auto" w:sz="4" w:space="0"/>
              <w:right w:val="single" w:color="auto" w:sz="4" w:space="0"/>
            </w:tcBorders>
            <w:vAlign w:val="center"/>
          </w:tcPr>
          <w:p w14:paraId="6204F286">
            <w:pPr>
              <w:adjustRightInd/>
              <w:snapToGrid/>
              <w:spacing w:after="0"/>
              <w:jc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w:t>
            </w:r>
            <w:r>
              <w:rPr>
                <w:rFonts w:ascii="宋体" w:hAnsi="宋体" w:eastAsia="Arial Unicode MS" w:cs="Arial Unicode MS"/>
                <w:color w:val="000000"/>
                <w:sz w:val="16"/>
                <w:szCs w:val="16"/>
              </w:rPr>
              <w:t>275辆</w:t>
            </w:r>
          </w:p>
        </w:tc>
        <w:tc>
          <w:tcPr>
            <w:tcW w:w="508" w:type="pct"/>
            <w:tcBorders>
              <w:top w:val="single" w:color="auto" w:sz="4" w:space="0"/>
              <w:left w:val="single" w:color="auto" w:sz="4" w:space="0"/>
              <w:right w:val="single" w:color="auto" w:sz="4" w:space="0"/>
            </w:tcBorders>
            <w:vAlign w:val="center"/>
          </w:tcPr>
          <w:p w14:paraId="4517D775">
            <w:pPr>
              <w:adjustRightInd/>
              <w:snapToGrid/>
              <w:spacing w:after="0"/>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w:t>
            </w:r>
            <w:r>
              <w:rPr>
                <w:rFonts w:ascii="宋体" w:hAnsi="宋体" w:eastAsia="Arial Unicode MS" w:cs="Arial Unicode MS"/>
                <w:color w:val="000000"/>
                <w:sz w:val="16"/>
                <w:szCs w:val="16"/>
              </w:rPr>
              <w:t>275辆</w:t>
            </w:r>
          </w:p>
        </w:tc>
        <w:tc>
          <w:tcPr>
            <w:tcW w:w="1008" w:type="pct"/>
            <w:tcBorders>
              <w:top w:val="single" w:color="auto" w:sz="4" w:space="0"/>
              <w:left w:val="single" w:color="auto" w:sz="4" w:space="0"/>
              <w:right w:val="single" w:color="auto" w:sz="4" w:space="0"/>
            </w:tcBorders>
            <w:vAlign w:val="center"/>
          </w:tcPr>
          <w:p w14:paraId="1D8197F2">
            <w:pPr>
              <w:adjustRightInd/>
              <w:snapToGrid/>
              <w:spacing w:after="0"/>
              <w:jc w:val="center"/>
              <w:rPr>
                <w:rFonts w:ascii="宋体" w:hAnsi="宋体" w:eastAsia="Arial Unicode MS" w:cs="Arial Unicode MS"/>
                <w:color w:val="000000"/>
                <w:sz w:val="16"/>
                <w:szCs w:val="16"/>
              </w:rPr>
            </w:pPr>
          </w:p>
        </w:tc>
      </w:tr>
      <w:tr w14:paraId="16FE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64560D20"/>
        </w:tc>
        <w:tc>
          <w:tcPr>
            <w:tcW w:w="320" w:type="pct"/>
            <w:vMerge w:val="continue"/>
            <w:tcBorders>
              <w:top w:val="single" w:color="auto" w:sz="4" w:space="0"/>
              <w:left w:val="single" w:color="auto" w:sz="4" w:space="0"/>
              <w:right w:val="single" w:color="auto" w:sz="4" w:space="0"/>
            </w:tcBorders>
            <w:vAlign w:val="center"/>
          </w:tcPr>
          <w:p w14:paraId="4A710778"/>
        </w:tc>
        <w:tc>
          <w:tcPr>
            <w:tcW w:w="547" w:type="pct"/>
            <w:vMerge w:val="continue"/>
            <w:tcBorders>
              <w:top w:val="single" w:color="auto" w:sz="4" w:space="0"/>
              <w:left w:val="single" w:color="auto" w:sz="4" w:space="0"/>
              <w:right w:val="single" w:color="auto" w:sz="4" w:space="0"/>
            </w:tcBorders>
            <w:vAlign w:val="center"/>
          </w:tcPr>
          <w:p w14:paraId="3E411898"/>
        </w:tc>
        <w:tc>
          <w:tcPr>
            <w:tcW w:w="1566" w:type="pct"/>
            <w:gridSpan w:val="2"/>
            <w:tcBorders>
              <w:top w:val="single" w:color="auto" w:sz="4" w:space="0"/>
              <w:left w:val="single" w:color="auto" w:sz="4" w:space="0"/>
              <w:right w:val="single" w:color="auto" w:sz="4" w:space="0"/>
            </w:tcBorders>
            <w:vAlign w:val="center"/>
          </w:tcPr>
          <w:p w14:paraId="756C31E7">
            <w:pPr>
              <w:adjustRightInd/>
              <w:snapToGrid/>
              <w:spacing w:after="0"/>
              <w:jc w:val="center"/>
              <w:rPr>
                <w:rFonts w:ascii="宋体" w:hAnsi="宋体" w:eastAsia="Arial Unicode MS" w:cs="Arial Unicode MS"/>
                <w:color w:val="000000"/>
                <w:sz w:val="16"/>
                <w:szCs w:val="16"/>
              </w:rPr>
            </w:pPr>
          </w:p>
        </w:tc>
        <w:tc>
          <w:tcPr>
            <w:tcW w:w="621" w:type="pct"/>
            <w:tcBorders>
              <w:top w:val="single" w:color="auto" w:sz="4" w:space="0"/>
              <w:left w:val="single" w:color="auto" w:sz="4" w:space="0"/>
              <w:right w:val="single" w:color="auto" w:sz="4" w:space="0"/>
            </w:tcBorders>
            <w:vAlign w:val="center"/>
          </w:tcPr>
          <w:p w14:paraId="5C204E4C">
            <w:pPr>
              <w:adjustRightInd/>
              <w:snapToGrid/>
              <w:spacing w:after="0"/>
              <w:jc w:val="center"/>
              <w:rPr>
                <w:rFonts w:ascii="宋体" w:hAnsi="宋体" w:eastAsia="Arial Unicode MS" w:cs="Arial Unicode MS"/>
                <w:color w:val="000000"/>
                <w:sz w:val="16"/>
                <w:szCs w:val="16"/>
              </w:rPr>
            </w:pPr>
          </w:p>
        </w:tc>
        <w:tc>
          <w:tcPr>
            <w:tcW w:w="508" w:type="pct"/>
            <w:tcBorders>
              <w:top w:val="single" w:color="auto" w:sz="4" w:space="0"/>
              <w:left w:val="single" w:color="auto" w:sz="4" w:space="0"/>
              <w:right w:val="single" w:color="auto" w:sz="4" w:space="0"/>
            </w:tcBorders>
            <w:vAlign w:val="center"/>
          </w:tcPr>
          <w:p w14:paraId="0FDBD36F">
            <w:pPr>
              <w:adjustRightInd/>
              <w:snapToGrid/>
              <w:spacing w:after="0"/>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26817980">
            <w:pPr>
              <w:adjustRightInd/>
              <w:snapToGrid/>
              <w:spacing w:after="0"/>
              <w:jc w:val="center"/>
              <w:rPr>
                <w:rFonts w:ascii="宋体" w:hAnsi="宋体" w:eastAsia="Arial Unicode MS" w:cs="Arial Unicode MS"/>
                <w:color w:val="000000"/>
                <w:sz w:val="16"/>
                <w:szCs w:val="16"/>
              </w:rPr>
            </w:pPr>
          </w:p>
        </w:tc>
      </w:tr>
      <w:tr w14:paraId="05C72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5A1AF934"/>
        </w:tc>
        <w:tc>
          <w:tcPr>
            <w:tcW w:w="320" w:type="pct"/>
            <w:vMerge w:val="continue"/>
            <w:tcBorders>
              <w:top w:val="single" w:color="auto" w:sz="4" w:space="0"/>
              <w:left w:val="single" w:color="auto" w:sz="4" w:space="0"/>
              <w:right w:val="single" w:color="auto" w:sz="4" w:space="0"/>
            </w:tcBorders>
            <w:vAlign w:val="center"/>
          </w:tcPr>
          <w:p w14:paraId="7BAB6E35"/>
        </w:tc>
        <w:tc>
          <w:tcPr>
            <w:tcW w:w="547" w:type="pct"/>
            <w:vMerge w:val="restart"/>
            <w:tcBorders>
              <w:top w:val="single" w:color="auto" w:sz="4" w:space="0"/>
              <w:left w:val="single" w:color="auto" w:sz="4" w:space="0"/>
              <w:right w:val="single" w:color="auto" w:sz="4" w:space="0"/>
            </w:tcBorders>
            <w:vAlign w:val="center"/>
          </w:tcPr>
          <w:p w14:paraId="24A778FE">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质量指标</w:t>
            </w:r>
          </w:p>
        </w:tc>
        <w:tc>
          <w:tcPr>
            <w:tcW w:w="1566" w:type="pct"/>
            <w:gridSpan w:val="2"/>
            <w:tcBorders>
              <w:top w:val="single" w:color="auto" w:sz="4" w:space="0"/>
              <w:left w:val="single" w:color="auto" w:sz="4" w:space="0"/>
              <w:right w:val="single" w:color="auto" w:sz="4" w:space="0"/>
            </w:tcBorders>
            <w:vAlign w:val="center"/>
          </w:tcPr>
          <w:p w14:paraId="7F7CDAFD">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补贴发放率</w:t>
            </w:r>
          </w:p>
        </w:tc>
        <w:tc>
          <w:tcPr>
            <w:tcW w:w="621" w:type="pct"/>
            <w:tcBorders>
              <w:top w:val="single" w:color="auto" w:sz="4" w:space="0"/>
              <w:left w:val="single" w:color="auto" w:sz="4" w:space="0"/>
              <w:right w:val="single" w:color="auto" w:sz="4" w:space="0"/>
            </w:tcBorders>
            <w:vAlign w:val="center"/>
          </w:tcPr>
          <w:p w14:paraId="6A82FB9D">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100%</w:t>
            </w:r>
          </w:p>
        </w:tc>
        <w:tc>
          <w:tcPr>
            <w:tcW w:w="508" w:type="pct"/>
            <w:tcBorders>
              <w:top w:val="single" w:color="auto" w:sz="4" w:space="0"/>
              <w:left w:val="single" w:color="auto" w:sz="4" w:space="0"/>
              <w:right w:val="single" w:color="auto" w:sz="4" w:space="0"/>
            </w:tcBorders>
            <w:vAlign w:val="center"/>
          </w:tcPr>
          <w:p w14:paraId="54A6359B">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100%</w:t>
            </w:r>
          </w:p>
        </w:tc>
        <w:tc>
          <w:tcPr>
            <w:tcW w:w="1008" w:type="pct"/>
            <w:tcBorders>
              <w:top w:val="single" w:color="auto" w:sz="4" w:space="0"/>
              <w:left w:val="single" w:color="auto" w:sz="4" w:space="0"/>
              <w:right w:val="single" w:color="auto" w:sz="4" w:space="0"/>
            </w:tcBorders>
            <w:vAlign w:val="center"/>
          </w:tcPr>
          <w:p w14:paraId="0EA827C8">
            <w:pPr>
              <w:adjustRightInd/>
              <w:snapToGrid/>
              <w:spacing w:after="0"/>
              <w:jc w:val="center"/>
              <w:rPr>
                <w:rFonts w:ascii="宋体" w:hAnsi="宋体" w:eastAsia="Arial Unicode MS" w:cs="Arial Unicode MS"/>
                <w:color w:val="000000"/>
                <w:sz w:val="16"/>
                <w:szCs w:val="16"/>
              </w:rPr>
            </w:pPr>
          </w:p>
        </w:tc>
      </w:tr>
      <w:tr w14:paraId="25373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25AE0454"/>
        </w:tc>
        <w:tc>
          <w:tcPr>
            <w:tcW w:w="320" w:type="pct"/>
            <w:vMerge w:val="continue"/>
            <w:tcBorders>
              <w:top w:val="single" w:color="auto" w:sz="4" w:space="0"/>
              <w:left w:val="single" w:color="auto" w:sz="4" w:space="0"/>
              <w:right w:val="single" w:color="auto" w:sz="4" w:space="0"/>
            </w:tcBorders>
            <w:vAlign w:val="center"/>
          </w:tcPr>
          <w:p w14:paraId="1C780343"/>
        </w:tc>
        <w:tc>
          <w:tcPr>
            <w:tcW w:w="547" w:type="pct"/>
            <w:vMerge w:val="continue"/>
            <w:tcBorders>
              <w:top w:val="single" w:color="auto" w:sz="4" w:space="0"/>
              <w:left w:val="single" w:color="auto" w:sz="4" w:space="0"/>
              <w:right w:val="single" w:color="auto" w:sz="4" w:space="0"/>
            </w:tcBorders>
            <w:vAlign w:val="center"/>
          </w:tcPr>
          <w:p w14:paraId="3763DDBF"/>
        </w:tc>
        <w:tc>
          <w:tcPr>
            <w:tcW w:w="1566" w:type="pct"/>
            <w:gridSpan w:val="2"/>
            <w:tcBorders>
              <w:top w:val="single" w:color="auto" w:sz="4" w:space="0"/>
              <w:left w:val="single" w:color="auto" w:sz="4" w:space="0"/>
              <w:right w:val="single" w:color="auto" w:sz="4" w:space="0"/>
            </w:tcBorders>
            <w:vAlign w:val="center"/>
          </w:tcPr>
          <w:p w14:paraId="5C2FA2FD">
            <w:pPr>
              <w:adjustRightInd/>
              <w:snapToGrid/>
              <w:spacing w:after="0"/>
              <w:jc w:val="center"/>
              <w:rPr>
                <w:rFonts w:ascii="宋体" w:hAnsi="宋体" w:eastAsia="Arial Unicode MS" w:cs="Arial Unicode MS"/>
                <w:color w:val="000000"/>
                <w:sz w:val="16"/>
                <w:szCs w:val="16"/>
              </w:rPr>
            </w:pPr>
          </w:p>
        </w:tc>
        <w:tc>
          <w:tcPr>
            <w:tcW w:w="621" w:type="pct"/>
            <w:tcBorders>
              <w:top w:val="single" w:color="auto" w:sz="4" w:space="0"/>
              <w:left w:val="single" w:color="auto" w:sz="4" w:space="0"/>
              <w:right w:val="single" w:color="auto" w:sz="4" w:space="0"/>
            </w:tcBorders>
            <w:vAlign w:val="center"/>
          </w:tcPr>
          <w:p w14:paraId="0675DC0F">
            <w:pPr>
              <w:adjustRightInd/>
              <w:snapToGrid/>
              <w:spacing w:after="0"/>
              <w:jc w:val="center"/>
              <w:rPr>
                <w:rFonts w:ascii="宋体" w:hAnsi="宋体" w:eastAsia="Arial Unicode MS" w:cs="Arial Unicode MS"/>
                <w:color w:val="000000"/>
                <w:sz w:val="16"/>
                <w:szCs w:val="16"/>
              </w:rPr>
            </w:pPr>
          </w:p>
        </w:tc>
        <w:tc>
          <w:tcPr>
            <w:tcW w:w="508" w:type="pct"/>
            <w:tcBorders>
              <w:top w:val="single" w:color="auto" w:sz="4" w:space="0"/>
              <w:left w:val="single" w:color="auto" w:sz="4" w:space="0"/>
              <w:right w:val="single" w:color="auto" w:sz="4" w:space="0"/>
            </w:tcBorders>
            <w:vAlign w:val="center"/>
          </w:tcPr>
          <w:p w14:paraId="1D9FFFF7">
            <w:pPr>
              <w:adjustRightInd/>
              <w:snapToGrid/>
              <w:spacing w:after="0"/>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27CFCBE4">
            <w:pPr>
              <w:adjustRightInd/>
              <w:snapToGrid/>
              <w:spacing w:after="0"/>
              <w:jc w:val="center"/>
              <w:rPr>
                <w:rFonts w:ascii="宋体" w:hAnsi="宋体" w:eastAsia="Arial Unicode MS" w:cs="Arial Unicode MS"/>
                <w:color w:val="000000"/>
                <w:sz w:val="16"/>
                <w:szCs w:val="16"/>
              </w:rPr>
            </w:pPr>
          </w:p>
        </w:tc>
      </w:tr>
      <w:tr w14:paraId="0FAE0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6FE00DE9"/>
        </w:tc>
        <w:tc>
          <w:tcPr>
            <w:tcW w:w="320" w:type="pct"/>
            <w:vMerge w:val="continue"/>
            <w:tcBorders>
              <w:top w:val="single" w:color="auto" w:sz="4" w:space="0"/>
              <w:left w:val="single" w:color="auto" w:sz="4" w:space="0"/>
              <w:right w:val="single" w:color="auto" w:sz="4" w:space="0"/>
            </w:tcBorders>
            <w:vAlign w:val="center"/>
          </w:tcPr>
          <w:p w14:paraId="364528BB"/>
        </w:tc>
        <w:tc>
          <w:tcPr>
            <w:tcW w:w="547" w:type="pct"/>
            <w:vMerge w:val="restart"/>
            <w:tcBorders>
              <w:top w:val="single" w:color="auto" w:sz="4" w:space="0"/>
              <w:left w:val="single" w:color="auto" w:sz="4" w:space="0"/>
              <w:right w:val="single" w:color="auto" w:sz="4" w:space="0"/>
            </w:tcBorders>
            <w:vAlign w:val="center"/>
          </w:tcPr>
          <w:p w14:paraId="66B688C2">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时效指标</w:t>
            </w:r>
          </w:p>
        </w:tc>
        <w:tc>
          <w:tcPr>
            <w:tcW w:w="1566" w:type="pct"/>
            <w:gridSpan w:val="2"/>
            <w:tcBorders>
              <w:top w:val="single" w:color="auto" w:sz="4" w:space="0"/>
              <w:left w:val="single" w:color="auto" w:sz="4" w:space="0"/>
              <w:right w:val="single" w:color="auto" w:sz="4" w:space="0"/>
            </w:tcBorders>
            <w:vAlign w:val="center"/>
          </w:tcPr>
          <w:p w14:paraId="57797D84">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项目完成时间</w:t>
            </w:r>
          </w:p>
        </w:tc>
        <w:tc>
          <w:tcPr>
            <w:tcW w:w="621" w:type="pct"/>
            <w:tcBorders>
              <w:top w:val="single" w:color="auto" w:sz="4" w:space="0"/>
              <w:left w:val="single" w:color="auto" w:sz="4" w:space="0"/>
              <w:right w:val="single" w:color="auto" w:sz="4" w:space="0"/>
            </w:tcBorders>
            <w:vAlign w:val="center"/>
          </w:tcPr>
          <w:p w14:paraId="014C9D65">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1年</w:t>
            </w:r>
          </w:p>
        </w:tc>
        <w:tc>
          <w:tcPr>
            <w:tcW w:w="508" w:type="pct"/>
            <w:tcBorders>
              <w:top w:val="single" w:color="auto" w:sz="4" w:space="0"/>
              <w:left w:val="single" w:color="auto" w:sz="4" w:space="0"/>
              <w:right w:val="single" w:color="auto" w:sz="4" w:space="0"/>
            </w:tcBorders>
            <w:vAlign w:val="center"/>
          </w:tcPr>
          <w:p w14:paraId="55DE0DFC">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1年</w:t>
            </w:r>
          </w:p>
        </w:tc>
        <w:tc>
          <w:tcPr>
            <w:tcW w:w="1008" w:type="pct"/>
            <w:tcBorders>
              <w:top w:val="single" w:color="auto" w:sz="4" w:space="0"/>
              <w:left w:val="single" w:color="auto" w:sz="4" w:space="0"/>
              <w:right w:val="single" w:color="auto" w:sz="4" w:space="0"/>
            </w:tcBorders>
            <w:vAlign w:val="center"/>
          </w:tcPr>
          <w:p w14:paraId="723F2F39">
            <w:pPr>
              <w:adjustRightInd/>
              <w:snapToGrid/>
              <w:spacing w:after="0"/>
              <w:jc w:val="center"/>
              <w:rPr>
                <w:rFonts w:ascii="宋体" w:hAnsi="宋体" w:eastAsia="Arial Unicode MS" w:cs="Arial Unicode MS"/>
                <w:color w:val="000000"/>
                <w:sz w:val="16"/>
                <w:szCs w:val="16"/>
              </w:rPr>
            </w:pPr>
          </w:p>
        </w:tc>
      </w:tr>
      <w:tr w14:paraId="7BA2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2BF3923B"/>
        </w:tc>
        <w:tc>
          <w:tcPr>
            <w:tcW w:w="320" w:type="pct"/>
            <w:vMerge w:val="continue"/>
            <w:tcBorders>
              <w:top w:val="single" w:color="auto" w:sz="4" w:space="0"/>
              <w:left w:val="single" w:color="auto" w:sz="4" w:space="0"/>
              <w:right w:val="single" w:color="auto" w:sz="4" w:space="0"/>
            </w:tcBorders>
            <w:vAlign w:val="center"/>
          </w:tcPr>
          <w:p w14:paraId="6C61DE5C"/>
        </w:tc>
        <w:tc>
          <w:tcPr>
            <w:tcW w:w="547" w:type="pct"/>
            <w:vMerge w:val="continue"/>
            <w:tcBorders>
              <w:top w:val="single" w:color="auto" w:sz="4" w:space="0"/>
              <w:left w:val="single" w:color="auto" w:sz="4" w:space="0"/>
              <w:right w:val="single" w:color="auto" w:sz="4" w:space="0"/>
            </w:tcBorders>
            <w:vAlign w:val="center"/>
          </w:tcPr>
          <w:p w14:paraId="2EDC6E69"/>
        </w:tc>
        <w:tc>
          <w:tcPr>
            <w:tcW w:w="1566" w:type="pct"/>
            <w:gridSpan w:val="2"/>
            <w:tcBorders>
              <w:top w:val="single" w:color="auto" w:sz="4" w:space="0"/>
              <w:left w:val="single" w:color="auto" w:sz="4" w:space="0"/>
              <w:right w:val="single" w:color="auto" w:sz="4" w:space="0"/>
            </w:tcBorders>
            <w:vAlign w:val="center"/>
          </w:tcPr>
          <w:p w14:paraId="2DF3FD87">
            <w:pPr>
              <w:adjustRightInd/>
              <w:snapToGrid/>
              <w:spacing w:after="0"/>
              <w:jc w:val="center"/>
              <w:rPr>
                <w:rFonts w:ascii="宋体" w:hAnsi="宋体" w:eastAsia="Arial Unicode MS" w:cs="Arial Unicode MS"/>
                <w:color w:val="000000"/>
                <w:sz w:val="16"/>
                <w:szCs w:val="16"/>
              </w:rPr>
            </w:pPr>
          </w:p>
        </w:tc>
        <w:tc>
          <w:tcPr>
            <w:tcW w:w="621" w:type="pct"/>
            <w:tcBorders>
              <w:top w:val="single" w:color="auto" w:sz="4" w:space="0"/>
              <w:left w:val="single" w:color="auto" w:sz="4" w:space="0"/>
              <w:right w:val="single" w:color="auto" w:sz="4" w:space="0"/>
            </w:tcBorders>
            <w:vAlign w:val="center"/>
          </w:tcPr>
          <w:p w14:paraId="1762DB0A">
            <w:pPr>
              <w:adjustRightInd/>
              <w:snapToGrid/>
              <w:spacing w:after="0"/>
              <w:jc w:val="center"/>
              <w:rPr>
                <w:rFonts w:ascii="宋体" w:hAnsi="宋体" w:eastAsia="Arial Unicode MS" w:cs="Arial Unicode MS"/>
                <w:color w:val="000000"/>
                <w:sz w:val="16"/>
                <w:szCs w:val="16"/>
              </w:rPr>
            </w:pPr>
          </w:p>
        </w:tc>
        <w:tc>
          <w:tcPr>
            <w:tcW w:w="508" w:type="pct"/>
            <w:tcBorders>
              <w:top w:val="single" w:color="auto" w:sz="4" w:space="0"/>
              <w:left w:val="single" w:color="auto" w:sz="4" w:space="0"/>
              <w:right w:val="single" w:color="auto" w:sz="4" w:space="0"/>
            </w:tcBorders>
            <w:vAlign w:val="center"/>
          </w:tcPr>
          <w:p w14:paraId="635F3188">
            <w:pPr>
              <w:adjustRightInd/>
              <w:snapToGrid/>
              <w:spacing w:after="0"/>
              <w:rPr>
                <w:rFonts w:ascii="宋体" w:hAnsi="宋体" w:eastAsia="Arial Unicode MS" w:cs="Arial Unicode MS"/>
                <w:color w:val="000000"/>
                <w:sz w:val="16"/>
                <w:szCs w:val="16"/>
              </w:rPr>
            </w:pPr>
          </w:p>
        </w:tc>
        <w:tc>
          <w:tcPr>
            <w:tcW w:w="1008" w:type="pct"/>
            <w:tcBorders>
              <w:top w:val="single" w:color="auto" w:sz="4" w:space="0"/>
              <w:left w:val="single" w:color="auto" w:sz="4" w:space="0"/>
              <w:right w:val="single" w:color="auto" w:sz="4" w:space="0"/>
            </w:tcBorders>
            <w:vAlign w:val="center"/>
          </w:tcPr>
          <w:p w14:paraId="20F0EE4C">
            <w:pPr>
              <w:adjustRightInd/>
              <w:snapToGrid/>
              <w:spacing w:after="0"/>
              <w:jc w:val="center"/>
              <w:rPr>
                <w:rFonts w:ascii="宋体" w:hAnsi="宋体" w:eastAsia="Arial Unicode MS" w:cs="Arial Unicode MS"/>
                <w:color w:val="000000"/>
                <w:sz w:val="16"/>
                <w:szCs w:val="16"/>
              </w:rPr>
            </w:pPr>
          </w:p>
        </w:tc>
      </w:tr>
      <w:tr w14:paraId="13D5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4E48426A"/>
        </w:tc>
        <w:tc>
          <w:tcPr>
            <w:tcW w:w="320" w:type="pct"/>
            <w:vMerge w:val="continue"/>
            <w:tcBorders>
              <w:top w:val="single" w:color="auto" w:sz="4" w:space="0"/>
              <w:left w:val="single" w:color="auto" w:sz="4" w:space="0"/>
              <w:right w:val="single" w:color="auto" w:sz="4" w:space="0"/>
            </w:tcBorders>
            <w:vAlign w:val="center"/>
          </w:tcPr>
          <w:p w14:paraId="33C6CB70"/>
        </w:tc>
        <w:tc>
          <w:tcPr>
            <w:tcW w:w="547" w:type="pct"/>
            <w:tcBorders>
              <w:top w:val="single" w:color="auto" w:sz="4" w:space="0"/>
              <w:left w:val="single" w:color="auto" w:sz="4" w:space="0"/>
              <w:right w:val="single" w:color="auto" w:sz="4" w:space="0"/>
            </w:tcBorders>
            <w:vAlign w:val="center"/>
          </w:tcPr>
          <w:p w14:paraId="01073ABA">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成本指标</w:t>
            </w:r>
          </w:p>
        </w:tc>
        <w:tc>
          <w:tcPr>
            <w:tcW w:w="1566" w:type="pct"/>
            <w:gridSpan w:val="2"/>
            <w:tcBorders>
              <w:top w:val="single" w:color="auto" w:sz="4" w:space="0"/>
              <w:left w:val="single" w:color="auto" w:sz="4" w:space="0"/>
              <w:right w:val="single" w:color="auto" w:sz="4" w:space="0"/>
            </w:tcBorders>
            <w:vAlign w:val="center"/>
          </w:tcPr>
          <w:p w14:paraId="62AE9AD0">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平均每辆车辆补贴</w:t>
            </w:r>
          </w:p>
        </w:tc>
        <w:tc>
          <w:tcPr>
            <w:tcW w:w="621" w:type="pct"/>
            <w:tcBorders>
              <w:top w:val="single" w:color="auto" w:sz="4" w:space="0"/>
              <w:left w:val="single" w:color="auto" w:sz="4" w:space="0"/>
              <w:right w:val="single" w:color="auto" w:sz="4" w:space="0"/>
            </w:tcBorders>
            <w:vAlign w:val="center"/>
          </w:tcPr>
          <w:p w14:paraId="09A8B0EF">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2000元</w:t>
            </w:r>
          </w:p>
        </w:tc>
        <w:tc>
          <w:tcPr>
            <w:tcW w:w="508" w:type="pct"/>
            <w:tcBorders>
              <w:top w:val="single" w:color="auto" w:sz="4" w:space="0"/>
              <w:left w:val="single" w:color="auto" w:sz="4" w:space="0"/>
              <w:right w:val="single" w:color="auto" w:sz="4" w:space="0"/>
            </w:tcBorders>
            <w:vAlign w:val="center"/>
          </w:tcPr>
          <w:p w14:paraId="6B7494A9">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2000元</w:t>
            </w:r>
          </w:p>
        </w:tc>
        <w:tc>
          <w:tcPr>
            <w:tcW w:w="1008" w:type="pct"/>
            <w:tcBorders>
              <w:top w:val="single" w:color="auto" w:sz="4" w:space="0"/>
              <w:left w:val="single" w:color="auto" w:sz="4" w:space="0"/>
              <w:right w:val="single" w:color="auto" w:sz="4" w:space="0"/>
            </w:tcBorders>
            <w:vAlign w:val="center"/>
          </w:tcPr>
          <w:p w14:paraId="26B48B3E">
            <w:pPr>
              <w:adjustRightInd/>
              <w:snapToGrid/>
              <w:spacing w:after="0"/>
              <w:jc w:val="center"/>
              <w:rPr>
                <w:rFonts w:ascii="宋体" w:hAnsi="宋体" w:eastAsia="Arial Unicode MS" w:cs="Arial Unicode MS"/>
                <w:color w:val="000000"/>
                <w:sz w:val="16"/>
                <w:szCs w:val="16"/>
              </w:rPr>
            </w:pPr>
          </w:p>
        </w:tc>
      </w:tr>
      <w:tr w14:paraId="0520D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583E7575"/>
        </w:tc>
        <w:tc>
          <w:tcPr>
            <w:tcW w:w="319" w:type="pct"/>
            <w:tcBorders>
              <w:top w:val="single" w:color="auto" w:sz="4" w:space="0"/>
              <w:left w:val="single" w:color="auto" w:sz="4" w:space="0"/>
              <w:right w:val="single" w:color="auto" w:sz="4" w:space="0"/>
            </w:tcBorders>
            <w:vAlign w:val="center"/>
          </w:tcPr>
          <w:p w14:paraId="74B67EE9">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效益</w:t>
            </w:r>
          </w:p>
          <w:p w14:paraId="1B4C4B60">
            <w:r>
              <w:rPr>
                <w:rFonts w:hint="eastAsia" w:ascii="宋体" w:hAnsi="宋体" w:eastAsia="Arial Unicode MS" w:cs="Arial Unicode MS"/>
                <w:color w:val="000000"/>
                <w:sz w:val="16"/>
                <w:szCs w:val="16"/>
              </w:rPr>
              <w:t>指标</w:t>
            </w:r>
          </w:p>
        </w:tc>
        <w:tc>
          <w:tcPr>
            <w:tcW w:w="547" w:type="pct"/>
            <w:tcBorders>
              <w:top w:val="single" w:color="auto" w:sz="4" w:space="0"/>
              <w:left w:val="single" w:color="auto" w:sz="4" w:space="0"/>
              <w:right w:val="single" w:color="auto" w:sz="4" w:space="0"/>
            </w:tcBorders>
            <w:vAlign w:val="center"/>
          </w:tcPr>
          <w:p w14:paraId="23CBAC8B">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社会效益</w:t>
            </w:r>
          </w:p>
          <w:p w14:paraId="5532C562">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指标</w:t>
            </w:r>
          </w:p>
        </w:tc>
        <w:tc>
          <w:tcPr>
            <w:tcW w:w="1566" w:type="pct"/>
            <w:gridSpan w:val="2"/>
            <w:tcBorders>
              <w:top w:val="single" w:color="auto" w:sz="4" w:space="0"/>
              <w:left w:val="single" w:color="auto" w:sz="4" w:space="0"/>
              <w:right w:val="single" w:color="auto" w:sz="4" w:space="0"/>
            </w:tcBorders>
            <w:vAlign w:val="center"/>
          </w:tcPr>
          <w:p w14:paraId="0355AA40">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减轻经营者经营压力</w:t>
            </w:r>
          </w:p>
        </w:tc>
        <w:tc>
          <w:tcPr>
            <w:tcW w:w="621" w:type="pct"/>
            <w:tcBorders>
              <w:top w:val="single" w:color="auto" w:sz="4" w:space="0"/>
              <w:left w:val="single" w:color="auto" w:sz="4" w:space="0"/>
              <w:right w:val="single" w:color="auto" w:sz="4" w:space="0"/>
            </w:tcBorders>
            <w:vAlign w:val="center"/>
          </w:tcPr>
          <w:p w14:paraId="2F0D9599">
            <w:pPr>
              <w:adjustRightInd/>
              <w:snapToGrid/>
              <w:spacing w:after="0"/>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良</w:t>
            </w:r>
          </w:p>
        </w:tc>
        <w:tc>
          <w:tcPr>
            <w:tcW w:w="508" w:type="pct"/>
            <w:tcBorders>
              <w:top w:val="single" w:color="auto" w:sz="4" w:space="0"/>
              <w:left w:val="single" w:color="auto" w:sz="4" w:space="0"/>
              <w:right w:val="single" w:color="auto" w:sz="4" w:space="0"/>
            </w:tcBorders>
            <w:vAlign w:val="center"/>
          </w:tcPr>
          <w:p w14:paraId="7FF7F44E">
            <w:pPr>
              <w:adjustRightInd/>
              <w:snapToGrid/>
              <w:spacing w:after="0"/>
              <w:rPr>
                <w:rFonts w:ascii="宋体" w:hAnsi="宋体" w:eastAsia="Arial Unicode MS" w:cs="Arial Unicode MS"/>
                <w:color w:val="000000"/>
                <w:sz w:val="16"/>
                <w:szCs w:val="16"/>
              </w:rPr>
            </w:pPr>
            <w:r>
              <w:rPr>
                <w:rFonts w:ascii="宋体" w:hAnsi="宋体" w:eastAsia="Arial Unicode MS" w:cs="Arial Unicode MS"/>
                <w:color w:val="000000"/>
                <w:sz w:val="16"/>
                <w:szCs w:val="16"/>
              </w:rPr>
              <w:t>良</w:t>
            </w:r>
          </w:p>
        </w:tc>
        <w:tc>
          <w:tcPr>
            <w:tcW w:w="1008" w:type="pct"/>
            <w:tcBorders>
              <w:top w:val="single" w:color="auto" w:sz="4" w:space="0"/>
              <w:left w:val="single" w:color="auto" w:sz="4" w:space="0"/>
              <w:right w:val="single" w:color="auto" w:sz="4" w:space="0"/>
            </w:tcBorders>
            <w:vAlign w:val="center"/>
          </w:tcPr>
          <w:p w14:paraId="6EC9C035">
            <w:pPr>
              <w:adjustRightInd/>
              <w:snapToGrid/>
              <w:spacing w:after="0"/>
              <w:jc w:val="center"/>
              <w:rPr>
                <w:rFonts w:ascii="宋体" w:hAnsi="宋体" w:eastAsia="Arial Unicode MS" w:cs="Arial Unicode MS"/>
                <w:color w:val="000000"/>
                <w:sz w:val="16"/>
                <w:szCs w:val="16"/>
              </w:rPr>
            </w:pPr>
          </w:p>
        </w:tc>
      </w:tr>
      <w:tr w14:paraId="1E86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428" w:type="pct"/>
            <w:vMerge w:val="continue"/>
            <w:tcBorders>
              <w:top w:val="single" w:color="auto" w:sz="4" w:space="0"/>
              <w:left w:val="single" w:color="auto" w:sz="4" w:space="0"/>
              <w:right w:val="single" w:color="auto" w:sz="4" w:space="0"/>
            </w:tcBorders>
            <w:textDirection w:val="tbRlV"/>
            <w:vAlign w:val="center"/>
          </w:tcPr>
          <w:p w14:paraId="2106934E"/>
        </w:tc>
        <w:tc>
          <w:tcPr>
            <w:tcW w:w="319" w:type="pct"/>
            <w:tcBorders>
              <w:top w:val="single" w:color="auto" w:sz="4" w:space="0"/>
              <w:left w:val="single" w:color="auto" w:sz="4" w:space="0"/>
              <w:right w:val="single" w:color="auto" w:sz="4" w:space="0"/>
            </w:tcBorders>
            <w:vAlign w:val="center"/>
          </w:tcPr>
          <w:p w14:paraId="3E692E94">
            <w:pPr>
              <w:adjustRightInd/>
              <w:snapToGrid/>
              <w:spacing w:after="0" w:line="200" w:lineRule="exact"/>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满意度指标</w:t>
            </w:r>
          </w:p>
        </w:tc>
        <w:tc>
          <w:tcPr>
            <w:tcW w:w="547" w:type="pct"/>
            <w:tcBorders>
              <w:top w:val="single" w:color="auto" w:sz="4" w:space="0"/>
              <w:left w:val="single" w:color="auto" w:sz="4" w:space="0"/>
              <w:right w:val="single" w:color="auto" w:sz="4" w:space="0"/>
            </w:tcBorders>
            <w:vAlign w:val="center"/>
          </w:tcPr>
          <w:p w14:paraId="38C3A6F9">
            <w:pPr>
              <w:adjustRightInd/>
              <w:snapToGrid/>
              <w:spacing w:after="0" w:line="200" w:lineRule="exact"/>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服务对象</w:t>
            </w:r>
          </w:p>
          <w:p w14:paraId="1319E659">
            <w:pPr>
              <w:adjustRightInd/>
              <w:snapToGrid/>
              <w:spacing w:after="0" w:line="200" w:lineRule="exact"/>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满意度指标</w:t>
            </w:r>
          </w:p>
        </w:tc>
        <w:tc>
          <w:tcPr>
            <w:tcW w:w="1566" w:type="pct"/>
            <w:gridSpan w:val="2"/>
            <w:tcBorders>
              <w:top w:val="single" w:color="auto" w:sz="4" w:space="0"/>
              <w:left w:val="single" w:color="auto" w:sz="4" w:space="0"/>
              <w:right w:val="single" w:color="auto" w:sz="4" w:space="0"/>
            </w:tcBorders>
            <w:vAlign w:val="center"/>
          </w:tcPr>
          <w:p w14:paraId="130E31E2">
            <w:pPr>
              <w:adjustRightInd/>
              <w:snapToGrid/>
              <w:spacing w:after="0" w:line="200" w:lineRule="exact"/>
              <w:jc w:val="center"/>
              <w:rPr>
                <w:rFonts w:ascii="宋体" w:hAnsi="宋体" w:eastAsia="Arial Unicode MS" w:cs="Arial Unicode MS"/>
                <w:color w:val="000000"/>
                <w:sz w:val="16"/>
                <w:szCs w:val="16"/>
              </w:rPr>
            </w:pPr>
            <w:r>
              <w:rPr>
                <w:rFonts w:ascii="宋体" w:hAnsi="宋体" w:eastAsia="Arial Unicode MS" w:cs="Arial Unicode MS"/>
                <w:color w:val="000000"/>
                <w:sz w:val="16"/>
                <w:szCs w:val="16"/>
              </w:rPr>
              <w:t>受益对象满意度</w:t>
            </w:r>
          </w:p>
        </w:tc>
        <w:tc>
          <w:tcPr>
            <w:tcW w:w="621" w:type="pct"/>
            <w:tcBorders>
              <w:top w:val="single" w:color="auto" w:sz="4" w:space="0"/>
              <w:left w:val="single" w:color="auto" w:sz="4" w:space="0"/>
              <w:right w:val="single" w:color="auto" w:sz="4" w:space="0"/>
            </w:tcBorders>
            <w:vAlign w:val="center"/>
          </w:tcPr>
          <w:p w14:paraId="3F8FCABD">
            <w:pPr>
              <w:adjustRightInd/>
              <w:snapToGrid/>
              <w:spacing w:after="0" w:line="200" w:lineRule="exact"/>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≥95%</w:t>
            </w:r>
          </w:p>
        </w:tc>
        <w:tc>
          <w:tcPr>
            <w:tcW w:w="508" w:type="pct"/>
            <w:tcBorders>
              <w:top w:val="single" w:color="auto" w:sz="4" w:space="0"/>
              <w:left w:val="single" w:color="auto" w:sz="4" w:space="0"/>
              <w:right w:val="single" w:color="auto" w:sz="4" w:space="0"/>
            </w:tcBorders>
            <w:vAlign w:val="center"/>
          </w:tcPr>
          <w:p w14:paraId="3EEC684E">
            <w:pPr>
              <w:adjustRightInd/>
              <w:snapToGrid/>
              <w:spacing w:after="0" w:line="200" w:lineRule="exact"/>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≥95%</w:t>
            </w:r>
          </w:p>
        </w:tc>
        <w:tc>
          <w:tcPr>
            <w:tcW w:w="1008" w:type="pct"/>
            <w:tcBorders>
              <w:top w:val="single" w:color="auto" w:sz="4" w:space="0"/>
              <w:left w:val="single" w:color="auto" w:sz="4" w:space="0"/>
              <w:right w:val="single" w:color="auto" w:sz="4" w:space="0"/>
            </w:tcBorders>
            <w:vAlign w:val="center"/>
          </w:tcPr>
          <w:p w14:paraId="56FACC85">
            <w:pPr>
              <w:adjustRightInd/>
              <w:snapToGrid/>
              <w:spacing w:after="0" w:line="200" w:lineRule="exact"/>
              <w:jc w:val="center"/>
              <w:rPr>
                <w:rFonts w:ascii="宋体" w:hAnsi="宋体" w:eastAsia="Arial Unicode MS" w:cs="Arial Unicode MS"/>
                <w:color w:val="000000"/>
                <w:sz w:val="16"/>
                <w:szCs w:val="16"/>
              </w:rPr>
            </w:pPr>
          </w:p>
        </w:tc>
      </w:tr>
      <w:tr w14:paraId="4C371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jc w:val="center"/>
        </w:trPr>
        <w:tc>
          <w:tcPr>
            <w:tcW w:w="427" w:type="pct"/>
            <w:tcBorders>
              <w:top w:val="single" w:color="auto" w:sz="4" w:space="0"/>
              <w:left w:val="single" w:color="auto" w:sz="4" w:space="0"/>
              <w:right w:val="single" w:color="auto" w:sz="4" w:space="0"/>
            </w:tcBorders>
            <w:vAlign w:val="center"/>
          </w:tcPr>
          <w:p w14:paraId="6948317D">
            <w:pPr>
              <w:adjustRightInd/>
              <w:snapToGrid/>
              <w:spacing w:after="0"/>
              <w:jc w:val="center"/>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说明</w:t>
            </w:r>
          </w:p>
        </w:tc>
        <w:tc>
          <w:tcPr>
            <w:tcW w:w="4572" w:type="pct"/>
            <w:gridSpan w:val="7"/>
            <w:tcBorders>
              <w:top w:val="single" w:color="auto" w:sz="4" w:space="0"/>
              <w:left w:val="single" w:color="auto" w:sz="4" w:space="0"/>
              <w:right w:val="single" w:color="auto" w:sz="4" w:space="0"/>
            </w:tcBorders>
            <w:vAlign w:val="center"/>
          </w:tcPr>
          <w:p w14:paraId="45877726">
            <w:pPr>
              <w:adjustRightInd/>
              <w:snapToGrid/>
              <w:spacing w:after="0"/>
              <w:textAlignment w:val="center"/>
              <w:rPr>
                <w:rFonts w:ascii="宋体" w:hAnsi="宋体" w:eastAsia="Arial Unicode MS" w:cs="Arial Unicode MS"/>
                <w:color w:val="000000"/>
                <w:sz w:val="16"/>
                <w:szCs w:val="16"/>
              </w:rPr>
            </w:pPr>
            <w:r>
              <w:rPr>
                <w:rFonts w:hint="eastAsia" w:ascii="宋体" w:hAnsi="宋体" w:eastAsia="Arial Unicode MS" w:cs="Arial Unicode MS"/>
                <w:color w:val="000000"/>
                <w:sz w:val="16"/>
                <w:szCs w:val="16"/>
              </w:rPr>
              <w:t>无。</w:t>
            </w:r>
          </w:p>
        </w:tc>
      </w:tr>
    </w:tbl>
    <w:p w14:paraId="2E67F762">
      <w:pPr>
        <w:rPr>
          <w:rFonts w:hint="eastAsia"/>
        </w:rPr>
      </w:pPr>
      <w:r>
        <w:rPr>
          <w:rFonts w:hint="eastAsia"/>
        </w:rPr>
        <w:br w:type="page"/>
      </w:r>
    </w:p>
    <w:p w14:paraId="00D9443E">
      <w:pPr>
        <w:pStyle w:val="5"/>
        <w:rPr>
          <w:rFonts w:hint="eastAsia"/>
        </w:rPr>
      </w:pPr>
    </w:p>
    <w:p w14:paraId="4A2CBB87">
      <w:pPr>
        <w:rPr>
          <w:rFonts w:hint="eastAsia"/>
        </w:rPr>
      </w:pPr>
    </w:p>
    <w:p w14:paraId="4388A7F0">
      <w:pPr>
        <w:pStyle w:val="2"/>
        <w:jc w:val="center"/>
        <w:rPr>
          <w:rFonts w:ascii="黑体" w:hAnsi="黑体" w:eastAsia="黑体"/>
        </w:rPr>
      </w:pPr>
      <w:bookmarkStart w:id="170" w:name="_Toc23464"/>
      <w:bookmarkStart w:id="171" w:name="_Toc19140"/>
      <w:r>
        <w:rPr>
          <w:rFonts w:hint="eastAsia" w:ascii="黑体" w:hAnsi="黑体" w:eastAsia="黑体"/>
        </w:rPr>
        <w:t>第五部分 附表</w:t>
      </w:r>
      <w:bookmarkEnd w:id="170"/>
      <w:bookmarkEnd w:id="171"/>
    </w:p>
    <w:p w14:paraId="3E305A00">
      <w:pPr>
        <w:tabs>
          <w:tab w:val="right" w:pos="8306"/>
        </w:tabs>
        <w:spacing w:line="600" w:lineRule="exact"/>
        <w:ind w:firstLine="640"/>
        <w:outlineLvl w:val="1"/>
        <w:rPr>
          <w:rFonts w:hint="eastAsia" w:ascii="黑体" w:hAnsi="Times New Roman" w:eastAsia="黑体" w:cs="Times New Roman"/>
          <w:sz w:val="32"/>
          <w:szCs w:val="32"/>
          <w:lang w:val="zh-CN"/>
        </w:rPr>
      </w:pPr>
      <w:bookmarkStart w:id="172" w:name="_Toc7479"/>
      <w:bookmarkStart w:id="173" w:name="_Toc9120"/>
      <w:r>
        <w:rPr>
          <w:rFonts w:hint="eastAsia" w:ascii="黑体" w:hAnsi="Times New Roman" w:eastAsia="黑体" w:cs="Times New Roman"/>
          <w:sz w:val="32"/>
          <w:szCs w:val="32"/>
          <w:lang w:val="zh-CN"/>
        </w:rPr>
        <w:t>一、收入支出决算总表</w:t>
      </w:r>
      <w:bookmarkEnd w:id="172"/>
      <w:bookmarkEnd w:id="173"/>
    </w:p>
    <w:p w14:paraId="6500F2FF">
      <w:pPr>
        <w:tabs>
          <w:tab w:val="right" w:pos="8306"/>
        </w:tabs>
        <w:spacing w:line="600" w:lineRule="exact"/>
        <w:ind w:firstLine="640"/>
        <w:outlineLvl w:val="1"/>
        <w:rPr>
          <w:rFonts w:hint="eastAsia" w:ascii="黑体" w:hAnsi="Times New Roman" w:eastAsia="黑体" w:cs="Times New Roman"/>
          <w:sz w:val="32"/>
          <w:szCs w:val="32"/>
          <w:lang w:val="zh-CN"/>
        </w:rPr>
      </w:pPr>
      <w:bookmarkStart w:id="174" w:name="_Toc16234"/>
      <w:bookmarkStart w:id="175" w:name="_Toc1809"/>
      <w:r>
        <w:rPr>
          <w:rFonts w:hint="eastAsia" w:ascii="黑体" w:hAnsi="Times New Roman" w:eastAsia="黑体" w:cs="Times New Roman"/>
          <w:sz w:val="32"/>
          <w:szCs w:val="32"/>
          <w:lang w:val="zh-CN"/>
        </w:rPr>
        <w:t>二、收入决算表</w:t>
      </w:r>
      <w:bookmarkEnd w:id="174"/>
      <w:bookmarkEnd w:id="175"/>
    </w:p>
    <w:p w14:paraId="6CFAEA7F">
      <w:pPr>
        <w:tabs>
          <w:tab w:val="right" w:pos="8306"/>
        </w:tabs>
        <w:spacing w:line="600" w:lineRule="exact"/>
        <w:ind w:firstLine="640"/>
        <w:outlineLvl w:val="1"/>
        <w:rPr>
          <w:rFonts w:hint="eastAsia" w:ascii="黑体" w:hAnsi="Times New Roman" w:eastAsia="黑体" w:cs="Times New Roman"/>
          <w:sz w:val="32"/>
          <w:szCs w:val="32"/>
          <w:lang w:val="zh-CN"/>
        </w:rPr>
      </w:pPr>
      <w:bookmarkStart w:id="176" w:name="_Toc16928"/>
      <w:bookmarkStart w:id="177" w:name="_Toc11293"/>
      <w:r>
        <w:rPr>
          <w:rFonts w:hint="eastAsia" w:ascii="黑体" w:hAnsi="Times New Roman" w:eastAsia="黑体" w:cs="Times New Roman"/>
          <w:sz w:val="32"/>
          <w:szCs w:val="32"/>
          <w:lang w:val="zh-CN"/>
        </w:rPr>
        <w:t>三、支出决算表</w:t>
      </w:r>
      <w:bookmarkEnd w:id="176"/>
      <w:bookmarkEnd w:id="177"/>
      <w:bookmarkStart w:id="198" w:name="_GoBack"/>
      <w:bookmarkEnd w:id="198"/>
    </w:p>
    <w:p w14:paraId="0A3D5D73">
      <w:pPr>
        <w:tabs>
          <w:tab w:val="right" w:pos="8306"/>
        </w:tabs>
        <w:spacing w:line="600" w:lineRule="exact"/>
        <w:ind w:firstLine="640"/>
        <w:outlineLvl w:val="1"/>
        <w:rPr>
          <w:rFonts w:hint="eastAsia" w:ascii="黑体" w:hAnsi="Times New Roman" w:eastAsia="黑体" w:cs="Times New Roman"/>
          <w:sz w:val="32"/>
          <w:szCs w:val="32"/>
          <w:lang w:val="zh-CN"/>
        </w:rPr>
      </w:pPr>
      <w:bookmarkStart w:id="178" w:name="_Toc5198"/>
      <w:bookmarkStart w:id="179" w:name="_Toc4737"/>
      <w:r>
        <w:rPr>
          <w:rFonts w:hint="eastAsia" w:ascii="黑体" w:hAnsi="Times New Roman" w:eastAsia="黑体" w:cs="Times New Roman"/>
          <w:sz w:val="32"/>
          <w:szCs w:val="32"/>
          <w:lang w:val="zh-CN"/>
        </w:rPr>
        <w:t>四、财政拨款收入支出决算总表</w:t>
      </w:r>
      <w:bookmarkEnd w:id="178"/>
      <w:bookmarkEnd w:id="179"/>
    </w:p>
    <w:p w14:paraId="4AE36D89">
      <w:pPr>
        <w:tabs>
          <w:tab w:val="right" w:pos="8306"/>
        </w:tabs>
        <w:spacing w:line="600" w:lineRule="exact"/>
        <w:ind w:firstLine="640"/>
        <w:outlineLvl w:val="1"/>
        <w:rPr>
          <w:rFonts w:hint="eastAsia" w:ascii="黑体" w:hAnsi="Times New Roman" w:eastAsia="黑体" w:cs="Times New Roman"/>
          <w:sz w:val="32"/>
          <w:szCs w:val="32"/>
          <w:lang w:val="zh-CN"/>
        </w:rPr>
      </w:pPr>
      <w:bookmarkStart w:id="180" w:name="_Toc6219"/>
      <w:bookmarkStart w:id="181" w:name="_Toc18338"/>
      <w:r>
        <w:rPr>
          <w:rFonts w:hint="eastAsia" w:ascii="黑体" w:hAnsi="Times New Roman" w:eastAsia="黑体" w:cs="Times New Roman"/>
          <w:sz w:val="32"/>
          <w:szCs w:val="32"/>
          <w:lang w:val="zh-CN"/>
        </w:rPr>
        <w:t>五、财政拨款支出决算明细表</w:t>
      </w:r>
      <w:bookmarkEnd w:id="180"/>
      <w:bookmarkEnd w:id="181"/>
    </w:p>
    <w:p w14:paraId="711DFFB7">
      <w:pPr>
        <w:tabs>
          <w:tab w:val="right" w:pos="8306"/>
        </w:tabs>
        <w:spacing w:line="600" w:lineRule="exact"/>
        <w:ind w:firstLine="640"/>
        <w:outlineLvl w:val="1"/>
        <w:rPr>
          <w:rFonts w:hint="eastAsia" w:ascii="黑体" w:hAnsi="Times New Roman" w:eastAsia="黑体" w:cs="Times New Roman"/>
          <w:sz w:val="32"/>
          <w:szCs w:val="32"/>
          <w:lang w:val="zh-CN"/>
        </w:rPr>
      </w:pPr>
      <w:bookmarkStart w:id="182" w:name="_Toc16472"/>
      <w:bookmarkStart w:id="183" w:name="_Toc29855"/>
      <w:r>
        <w:rPr>
          <w:rFonts w:hint="eastAsia" w:ascii="黑体" w:hAnsi="Times New Roman" w:eastAsia="黑体" w:cs="Times New Roman"/>
          <w:sz w:val="32"/>
          <w:szCs w:val="32"/>
          <w:lang w:val="zh-CN"/>
        </w:rPr>
        <w:t>六、一般公共预算财政拨款支出决算表</w:t>
      </w:r>
      <w:bookmarkEnd w:id="182"/>
      <w:bookmarkEnd w:id="183"/>
    </w:p>
    <w:p w14:paraId="23DA2D19">
      <w:pPr>
        <w:tabs>
          <w:tab w:val="right" w:pos="8306"/>
        </w:tabs>
        <w:spacing w:line="600" w:lineRule="exact"/>
        <w:ind w:firstLine="640"/>
        <w:outlineLvl w:val="1"/>
        <w:rPr>
          <w:rFonts w:hint="eastAsia" w:ascii="黑体" w:hAnsi="Times New Roman" w:eastAsia="黑体" w:cs="Times New Roman"/>
          <w:sz w:val="32"/>
          <w:szCs w:val="32"/>
          <w:lang w:val="zh-CN"/>
        </w:rPr>
      </w:pPr>
      <w:bookmarkStart w:id="184" w:name="_Toc12052"/>
      <w:bookmarkStart w:id="185" w:name="_Toc2815"/>
      <w:r>
        <w:rPr>
          <w:rFonts w:hint="eastAsia" w:ascii="黑体" w:hAnsi="Times New Roman" w:eastAsia="黑体" w:cs="Times New Roman"/>
          <w:sz w:val="32"/>
          <w:szCs w:val="32"/>
          <w:lang w:val="zh-CN"/>
        </w:rPr>
        <w:t>七、一般公共预算财政拨款支出决算明细表</w:t>
      </w:r>
      <w:bookmarkEnd w:id="184"/>
      <w:bookmarkEnd w:id="185"/>
    </w:p>
    <w:p w14:paraId="6B4843DB">
      <w:pPr>
        <w:tabs>
          <w:tab w:val="right" w:pos="8306"/>
        </w:tabs>
        <w:spacing w:line="600" w:lineRule="exact"/>
        <w:ind w:firstLine="640"/>
        <w:outlineLvl w:val="1"/>
        <w:rPr>
          <w:rFonts w:hint="eastAsia" w:ascii="黑体" w:hAnsi="Times New Roman" w:eastAsia="黑体" w:cs="Times New Roman"/>
          <w:sz w:val="32"/>
          <w:szCs w:val="32"/>
          <w:lang w:val="zh-CN"/>
        </w:rPr>
      </w:pPr>
      <w:bookmarkStart w:id="186" w:name="_Toc25957"/>
      <w:bookmarkStart w:id="187" w:name="_Toc10378"/>
      <w:r>
        <w:rPr>
          <w:rFonts w:hint="eastAsia" w:ascii="黑体" w:hAnsi="Times New Roman" w:eastAsia="黑体" w:cs="Times New Roman"/>
          <w:sz w:val="32"/>
          <w:szCs w:val="32"/>
          <w:lang w:val="zh-CN"/>
        </w:rPr>
        <w:t>八、一般公共预算财政拨款基本支出决算表</w:t>
      </w:r>
      <w:bookmarkEnd w:id="186"/>
      <w:bookmarkEnd w:id="187"/>
    </w:p>
    <w:p w14:paraId="2FB470EC">
      <w:pPr>
        <w:tabs>
          <w:tab w:val="right" w:pos="8306"/>
        </w:tabs>
        <w:spacing w:line="600" w:lineRule="exact"/>
        <w:ind w:firstLine="640"/>
        <w:outlineLvl w:val="1"/>
        <w:rPr>
          <w:rFonts w:hint="eastAsia" w:ascii="黑体" w:hAnsi="Times New Roman" w:eastAsia="黑体" w:cs="Times New Roman"/>
          <w:sz w:val="32"/>
          <w:szCs w:val="32"/>
          <w:lang w:val="zh-CN"/>
        </w:rPr>
      </w:pPr>
      <w:bookmarkStart w:id="188" w:name="_Toc21847"/>
      <w:bookmarkStart w:id="189" w:name="_Toc17362"/>
      <w:r>
        <w:rPr>
          <w:rFonts w:hint="eastAsia" w:ascii="黑体" w:hAnsi="Times New Roman" w:eastAsia="黑体" w:cs="Times New Roman"/>
          <w:sz w:val="32"/>
          <w:szCs w:val="32"/>
          <w:lang w:val="zh-CN"/>
        </w:rPr>
        <w:t>九、一般公共预算财政拨款项目支出决算表</w:t>
      </w:r>
      <w:bookmarkEnd w:id="188"/>
      <w:bookmarkEnd w:id="189"/>
    </w:p>
    <w:p w14:paraId="05CF391F">
      <w:pPr>
        <w:tabs>
          <w:tab w:val="right" w:pos="8306"/>
        </w:tabs>
        <w:spacing w:line="600" w:lineRule="exact"/>
        <w:ind w:firstLine="640"/>
        <w:outlineLvl w:val="1"/>
        <w:rPr>
          <w:rFonts w:hint="eastAsia" w:ascii="黑体" w:hAnsi="Times New Roman" w:eastAsia="黑体" w:cs="Times New Roman"/>
          <w:sz w:val="32"/>
          <w:szCs w:val="32"/>
          <w:lang w:val="zh-CN"/>
        </w:rPr>
      </w:pPr>
      <w:bookmarkStart w:id="190" w:name="_Toc15747"/>
      <w:bookmarkStart w:id="191" w:name="_Toc5230"/>
      <w:r>
        <w:rPr>
          <w:rFonts w:hint="eastAsia" w:ascii="黑体" w:hAnsi="Times New Roman" w:eastAsia="黑体" w:cs="Times New Roman"/>
          <w:sz w:val="32"/>
          <w:szCs w:val="32"/>
          <w:lang w:val="zh-CN"/>
        </w:rPr>
        <w:t>十、政府性基金预算财政拨款收入支出决算表</w:t>
      </w:r>
      <w:bookmarkEnd w:id="190"/>
      <w:bookmarkEnd w:id="191"/>
    </w:p>
    <w:p w14:paraId="0B86C82F">
      <w:pPr>
        <w:tabs>
          <w:tab w:val="right" w:pos="8306"/>
        </w:tabs>
        <w:spacing w:line="600" w:lineRule="exact"/>
        <w:ind w:firstLine="640"/>
        <w:outlineLvl w:val="1"/>
        <w:rPr>
          <w:rFonts w:hint="eastAsia" w:ascii="黑体" w:hAnsi="Times New Roman" w:eastAsia="黑体" w:cs="Times New Roman"/>
          <w:sz w:val="32"/>
          <w:szCs w:val="32"/>
          <w:lang w:val="zh-CN"/>
        </w:rPr>
      </w:pPr>
      <w:bookmarkStart w:id="192" w:name="_Toc19175"/>
      <w:bookmarkStart w:id="193" w:name="_Toc177"/>
      <w:r>
        <w:rPr>
          <w:rFonts w:hint="eastAsia" w:ascii="黑体" w:hAnsi="Times New Roman" w:eastAsia="黑体" w:cs="Times New Roman"/>
          <w:sz w:val="32"/>
          <w:szCs w:val="32"/>
          <w:lang w:val="zh-CN"/>
        </w:rPr>
        <w:t>十一、国有资本经营预算财政拨款收入支出决算表</w:t>
      </w:r>
      <w:bookmarkEnd w:id="192"/>
      <w:bookmarkEnd w:id="193"/>
    </w:p>
    <w:p w14:paraId="1F91891D">
      <w:pPr>
        <w:tabs>
          <w:tab w:val="right" w:pos="8306"/>
        </w:tabs>
        <w:spacing w:line="600" w:lineRule="exact"/>
        <w:ind w:firstLine="640"/>
        <w:outlineLvl w:val="1"/>
        <w:rPr>
          <w:rFonts w:hint="eastAsia" w:ascii="黑体" w:hAnsi="Times New Roman" w:eastAsia="黑体" w:cs="Times New Roman"/>
          <w:sz w:val="32"/>
          <w:szCs w:val="32"/>
          <w:lang w:val="zh-CN"/>
        </w:rPr>
      </w:pPr>
      <w:bookmarkStart w:id="194" w:name="_Toc4432"/>
      <w:bookmarkStart w:id="195" w:name="_Toc18227"/>
      <w:r>
        <w:rPr>
          <w:rFonts w:hint="eastAsia" w:ascii="黑体" w:hAnsi="Times New Roman" w:eastAsia="黑体" w:cs="Times New Roman"/>
          <w:sz w:val="32"/>
          <w:szCs w:val="32"/>
          <w:lang w:val="zh-CN"/>
        </w:rPr>
        <w:t>十二、国有资本经营预算财政拨款支出决算表</w:t>
      </w:r>
      <w:bookmarkEnd w:id="194"/>
      <w:bookmarkEnd w:id="195"/>
    </w:p>
    <w:p w14:paraId="75015FEF">
      <w:pPr>
        <w:tabs>
          <w:tab w:val="right" w:pos="8306"/>
        </w:tabs>
        <w:spacing w:line="600" w:lineRule="exact"/>
        <w:ind w:firstLine="640"/>
        <w:outlineLvl w:val="1"/>
        <w:rPr>
          <w:rFonts w:hint="eastAsia" w:ascii="黑体" w:hAnsi="Times New Roman" w:eastAsia="黑体" w:cs="Times New Roman"/>
          <w:sz w:val="32"/>
          <w:szCs w:val="32"/>
          <w:lang w:val="zh-CN"/>
        </w:rPr>
      </w:pPr>
      <w:bookmarkStart w:id="196" w:name="_Toc16981"/>
      <w:bookmarkStart w:id="197" w:name="_Toc20525"/>
      <w:r>
        <w:rPr>
          <w:rFonts w:hint="eastAsia" w:ascii="黑体" w:hAnsi="Times New Roman" w:eastAsia="黑体" w:cs="Times New Roman"/>
          <w:sz w:val="32"/>
          <w:szCs w:val="32"/>
          <w:lang w:val="zh-CN"/>
        </w:rPr>
        <w:t>十三、财政拨款“三公”经费支出决算表</w:t>
      </w:r>
      <w:bookmarkEnd w:id="196"/>
      <w:bookmarkEnd w:id="197"/>
    </w:p>
    <w:sectPr>
      <w:footerReference r:id="rId12" w:type="first"/>
      <w:footerReference r:id="rId11"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44F596C9-FDA8-4221-9118-FB0418648EE0}"/>
  </w:font>
  <w:font w:name="黑体">
    <w:panose1 w:val="02010609060101010101"/>
    <w:charset w:val="86"/>
    <w:family w:val="auto"/>
    <w:pitch w:val="default"/>
    <w:sig w:usb0="800002BF" w:usb1="38CF7CFA" w:usb2="00000016" w:usb3="00000000" w:csb0="00040001" w:csb1="00000000"/>
    <w:embedRegular r:id="rId2" w:fontKey="{04C5CC34-4A54-4B5C-B3B9-80E329C99EB1}"/>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45068BA8-6224-429E-8333-F6A46087A268}"/>
  </w:font>
  <w:font w:name="Cambria">
    <w:panose1 w:val="02040503050406030204"/>
    <w:charset w:val="00"/>
    <w:family w:val="roman"/>
    <w:pitch w:val="default"/>
    <w:sig w:usb0="E00002FF" w:usb1="400004FF" w:usb2="00000000" w:usb3="00000000" w:csb0="2000019F" w:csb1="00000000"/>
    <w:embedRegular r:id="rId4" w:fontKey="{10852B7F-9F47-4C36-881F-7633223BCAE7}"/>
  </w:font>
  <w:font w:name="仿宋_GB2312">
    <w:panose1 w:val="02010609030101010101"/>
    <w:charset w:val="86"/>
    <w:family w:val="modern"/>
    <w:pitch w:val="default"/>
    <w:sig w:usb0="00000001" w:usb1="080E0000" w:usb2="00000000" w:usb3="00000000" w:csb0="00040000" w:csb1="00000000"/>
    <w:embedRegular r:id="rId5" w:fontKey="{4222674B-A2E6-4F4C-8DC6-56E6E03E72B6}"/>
  </w:font>
  <w:font w:name="仿宋">
    <w:panose1 w:val="02010609060101010101"/>
    <w:charset w:val="86"/>
    <w:family w:val="modern"/>
    <w:pitch w:val="default"/>
    <w:sig w:usb0="800002BF" w:usb1="38CF7CFA" w:usb2="00000016" w:usb3="00000000" w:csb0="00040001" w:csb1="00000000"/>
    <w:embedRegular r:id="rId6" w:fontKey="{579E847E-7917-4D27-B5DE-52DAF669AD50}"/>
  </w:font>
  <w:font w:name="??">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embedRegular r:id="rId7" w:fontKey="{73A9729B-5970-4151-8E8F-6A73555AFFBB}"/>
  </w:font>
  <w:font w:name="微软雅黑">
    <w:panose1 w:val="020B0503020204020204"/>
    <w:charset w:val="86"/>
    <w:family w:val="auto"/>
    <w:pitch w:val="default"/>
    <w:sig w:usb0="80000287" w:usb1="280F3C52" w:usb2="00000016" w:usb3="00000000" w:csb0="0004001F" w:csb1="00000000"/>
    <w:embedRegular r:id="rId8" w:fontKey="{8C389535-CC2E-4922-A9A3-96AE24D5E917}"/>
  </w:font>
  <w:font w:name="楷体_GB2312">
    <w:panose1 w:val="02010609030101010101"/>
    <w:charset w:val="86"/>
    <w:family w:val="auto"/>
    <w:pitch w:val="default"/>
    <w:sig w:usb0="00000001" w:usb1="080E0000" w:usb2="00000000" w:usb3="00000000" w:csb0="00040000" w:csb1="00000000"/>
    <w:embedRegular r:id="rId9" w:fontKey="{D255F61B-F7BC-40F2-8FD2-9F60EA3994B4}"/>
  </w:font>
  <w:font w:name="楷体">
    <w:panose1 w:val="02010609060101010101"/>
    <w:charset w:val="86"/>
    <w:family w:val="auto"/>
    <w:pitch w:val="default"/>
    <w:sig w:usb0="800002BF" w:usb1="38CF7CFA" w:usb2="00000016" w:usb3="00000000" w:csb0="00040001" w:csb1="00000000"/>
    <w:embedRegular r:id="rId10" w:fontKey="{FAD9DFC0-75BC-4E49-8449-DAE0908AF70C}"/>
  </w:font>
  <w:font w:name="等线">
    <w:panose1 w:val="02010600030101010101"/>
    <w:charset w:val="86"/>
    <w:family w:val="auto"/>
    <w:pitch w:val="default"/>
    <w:sig w:usb0="A00002BF" w:usb1="38CF7CFA" w:usb2="00000016" w:usb3="00000000" w:csb0="0004000F" w:csb1="00000000"/>
    <w:embedRegular r:id="rId11" w:fontKey="{C2D18D25-3BE7-4CE0-A1A7-66A5559A9684}"/>
  </w:font>
  <w:font w:name="方正楷体简体">
    <w:panose1 w:val="03000509000000000000"/>
    <w:charset w:val="86"/>
    <w:family w:val="script"/>
    <w:pitch w:val="default"/>
    <w:sig w:usb0="00000001" w:usb1="080E0000" w:usb2="00000000" w:usb3="00000000" w:csb0="00040000" w:csb1="00000000"/>
    <w:embedRegular r:id="rId12" w:fontKey="{4D605268-2287-42A0-96EA-0064CD36D951}"/>
  </w:font>
  <w:font w:name="方正仿宋_GB2312">
    <w:panose1 w:val="02000000000000000000"/>
    <w:charset w:val="86"/>
    <w:family w:val="auto"/>
    <w:pitch w:val="default"/>
    <w:sig w:usb0="A00002BF" w:usb1="184F6CFA" w:usb2="00000012" w:usb3="00000000" w:csb0="00040001" w:csb1="00000000"/>
    <w:embedRegular r:id="rId13" w:fontKey="{8BEB10AD-87CA-4217-833E-1C1C371556AC}"/>
  </w:font>
  <w:font w:name="方正黑体简体">
    <w:panose1 w:val="03000509000000000000"/>
    <w:charset w:val="86"/>
    <w:family w:val="auto"/>
    <w:pitch w:val="default"/>
    <w:sig w:usb0="00000001" w:usb1="080E0000" w:usb2="00000000" w:usb3="00000000" w:csb0="00040000" w:csb1="00000000"/>
    <w:embedRegular r:id="rId14" w:fontKey="{2E2C9030-D46F-483F-A6A8-9EED3932B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2E527E">
    <w:pPr>
      <w:pStyle w:val="10"/>
      <w:jc w:val="center"/>
      <w:rPr>
        <w:rFonts w:hint="eastAsia" w:eastAsia="宋体"/>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472D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5F543">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615A3">
    <w:pPr>
      <w:spacing w:line="173" w:lineRule="auto"/>
      <w:ind w:left="4182"/>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976FC9">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72976FC9">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500A8">
    <w:pPr>
      <w:spacing w:line="173" w:lineRule="auto"/>
      <w:ind w:left="4146"/>
      <w:rPr>
        <w:rFonts w:ascii="Times New Roman" w:hAnsi="Times New Roman" w:eastAsia="Times New Roman" w:cs="Times New Roman"/>
        <w:sz w:val="14"/>
        <w:szCs w:val="14"/>
      </w:rPr>
    </w:pPr>
    <w:r>
      <w:rPr>
        <w:sz w:val="14"/>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A4688F">
                          <w:pPr>
                            <w:pStyle w:val="10"/>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57A4688F">
                    <w:pPr>
                      <w:pStyle w:val="10"/>
                    </w:pPr>
                    <w:r>
                      <w:fldChar w:fldCharType="begin"/>
                    </w:r>
                    <w:r>
                      <w:instrText xml:space="preserve"> PAGE  \* MERGEFORMAT </w:instrText>
                    </w:r>
                    <w:r>
                      <w:fldChar w:fldCharType="separate"/>
                    </w:r>
                    <w:r>
                      <w:t>27</w:t>
                    </w:r>
                    <w:r>
                      <w:fldChar w:fldCharType="end"/>
                    </w:r>
                  </w:p>
                </w:txbxContent>
              </v:textbox>
            </v:shape>
          </w:pict>
        </mc:Fallback>
      </mc:AlternateContent>
    </w:r>
    <w:r>
      <w:rPr>
        <w:rFonts w:ascii="Times New Roman" w:hAnsi="Times New Roman" w:eastAsia="Times New Roman" w:cs="Times New Roman"/>
        <w:sz w:val="14"/>
        <w:szCs w:val="14"/>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98A06">
    <w:pPr>
      <w:spacing w:line="14" w:lineRule="auto"/>
      <w:rPr>
        <w:rFonts w:ascii="Arial"/>
        <w:sz w:val="2"/>
      </w:rPr>
    </w:pPr>
    <w:r>
      <w:rPr>
        <w:sz w:val="2"/>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E489B8">
                          <w:pPr>
                            <w:pStyle w:val="1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BE489B8">
                    <w:pPr>
                      <w:pStyle w:val="1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ABF13">
    <w:pPr>
      <w:pStyle w:val="10"/>
      <w:jc w:val="cente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30CFB">
                          <w:pPr>
                            <w:pStyle w:val="1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FB30CFB">
                    <w:pPr>
                      <w:pStyle w:val="10"/>
                    </w:pPr>
                    <w:r>
                      <w:fldChar w:fldCharType="begin"/>
                    </w:r>
                    <w:r>
                      <w:instrText xml:space="preserve"> PAGE  \* MERGEFORMAT </w:instrText>
                    </w:r>
                    <w:r>
                      <w:fldChar w:fldCharType="separate"/>
                    </w:r>
                    <w:r>
                      <w:t>35</w:t>
                    </w:r>
                    <w:r>
                      <w:fldChar w:fldCharType="end"/>
                    </w:r>
                  </w:p>
                </w:txbxContent>
              </v:textbox>
            </v:shape>
          </w:pict>
        </mc:Fallback>
      </mc:AlternateContent>
    </w:r>
  </w:p>
  <w:p w14:paraId="11E79EB0">
    <w:pPr>
      <w:pStyle w:val="1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58299">
    <w:pPr>
      <w:pStyle w:val="1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BB7C7">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F9BB7C7">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92266">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4E702">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52CC63"/>
    <w:multiLevelType w:val="multilevel"/>
    <w:tmpl w:val="B852CC63"/>
    <w:lvl w:ilvl="0" w:tentative="0">
      <w:start w:val="1"/>
      <w:numFmt w:val="decimal"/>
      <w:lvlText w:val="%1."/>
      <w:lvlJc w:val="left"/>
      <w:pPr>
        <w:ind w:left="1000" w:hanging="36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2C6530A"/>
    <w:multiLevelType w:val="singleLevel"/>
    <w:tmpl w:val="D2C6530A"/>
    <w:lvl w:ilvl="0" w:tentative="0">
      <w:start w:val="3"/>
      <w:numFmt w:val="decimal"/>
      <w:lvlText w:val="%1."/>
      <w:lvlJc w:val="left"/>
      <w:pPr>
        <w:tabs>
          <w:tab w:val="left" w:pos="312"/>
        </w:tabs>
      </w:pPr>
    </w:lvl>
  </w:abstractNum>
  <w:abstractNum w:abstractNumId="3">
    <w:nsid w:val="10BF7ABB"/>
    <w:multiLevelType w:val="multilevel"/>
    <w:tmpl w:val="10BF7ABB"/>
    <w:lvl w:ilvl="0" w:tentative="0">
      <w:start w:val="1"/>
      <w:numFmt w:val="decimal"/>
      <w:lvlText w:val="%1."/>
      <w:lvlJc w:val="left"/>
      <w:pPr>
        <w:ind w:left="1000" w:hanging="360"/>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5">
    <w:nsid w:val="19025CEB"/>
    <w:multiLevelType w:val="multilevel"/>
    <w:tmpl w:val="19025CEB"/>
    <w:lvl w:ilvl="0" w:tentative="0">
      <w:start w:val="1"/>
      <w:numFmt w:val="chineseCountingThousand"/>
      <w:lvlText w:val="（%1）"/>
      <w:lvlJc w:val="left"/>
      <w:pPr>
        <w:ind w:left="1584" w:hanging="944"/>
      </w:p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6">
    <w:nsid w:val="1CA21906"/>
    <w:multiLevelType w:val="singleLevel"/>
    <w:tmpl w:val="1CA21906"/>
    <w:lvl w:ilvl="0" w:tentative="0">
      <w:start w:val="2"/>
      <w:numFmt w:val="chineseCounting"/>
      <w:suff w:val="nothing"/>
      <w:lvlText w:val="（%1）"/>
      <w:lvlJc w:val="left"/>
      <w:rPr>
        <w:rFonts w:hint="eastAsia"/>
      </w:rPr>
    </w:lvl>
  </w:abstractNum>
  <w:abstractNum w:abstractNumId="7">
    <w:nsid w:val="3DB900C4"/>
    <w:multiLevelType w:val="singleLevel"/>
    <w:tmpl w:val="3DB900C4"/>
    <w:lvl w:ilvl="0" w:tentative="0">
      <w:start w:val="1"/>
      <w:numFmt w:val="chineseCounting"/>
      <w:suff w:val="nothing"/>
      <w:lvlText w:val="%1、"/>
      <w:lvlJc w:val="left"/>
      <w:rPr>
        <w:rFonts w:hint="eastAsia"/>
      </w:rPr>
    </w:lvl>
  </w:abstractNum>
  <w:abstractNum w:abstractNumId="8">
    <w:nsid w:val="4FA1597D"/>
    <w:multiLevelType w:val="singleLevel"/>
    <w:tmpl w:val="4FA1597D"/>
    <w:lvl w:ilvl="0" w:tentative="0">
      <w:start w:val="1"/>
      <w:numFmt w:val="chineseCounting"/>
      <w:suff w:val="nothing"/>
      <w:lvlText w:val="（%1）"/>
      <w:lvlJc w:val="left"/>
      <w:rPr>
        <w:rFonts w:hint="eastAsia"/>
      </w:rPr>
    </w:lvl>
  </w:abstractNum>
  <w:num w:numId="1">
    <w:abstractNumId w:val="7"/>
  </w:num>
  <w:num w:numId="2">
    <w:abstractNumId w:val="4"/>
  </w:num>
  <w:num w:numId="3">
    <w:abstractNumId w:val="1"/>
  </w:num>
  <w:num w:numId="4">
    <w:abstractNumId w:val="6"/>
  </w:num>
  <w:num w:numId="5">
    <w:abstractNumId w:val="2"/>
  </w:num>
  <w:num w:numId="6">
    <w:abstractNumId w:val="8"/>
  </w:num>
  <w:num w:numId="7">
    <w:abstractNumId w:val="0"/>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MyYWJlY2VhYjVhY2IyNWUxMjA0YzdhODNlOTdlNDAifQ=="/>
  </w:docVars>
  <w:rsids>
    <w:rsidRoot w:val="00F1361C"/>
    <w:rsid w:val="00014A1C"/>
    <w:rsid w:val="000222C6"/>
    <w:rsid w:val="0002549F"/>
    <w:rsid w:val="00035392"/>
    <w:rsid w:val="000468DB"/>
    <w:rsid w:val="0006487A"/>
    <w:rsid w:val="00065F8F"/>
    <w:rsid w:val="00070A43"/>
    <w:rsid w:val="000768F2"/>
    <w:rsid w:val="00082EAC"/>
    <w:rsid w:val="0009184B"/>
    <w:rsid w:val="00094236"/>
    <w:rsid w:val="0009593C"/>
    <w:rsid w:val="00097322"/>
    <w:rsid w:val="00097358"/>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30E5"/>
    <w:rsid w:val="00174518"/>
    <w:rsid w:val="0018106D"/>
    <w:rsid w:val="001877A7"/>
    <w:rsid w:val="00191536"/>
    <w:rsid w:val="00196687"/>
    <w:rsid w:val="001C0962"/>
    <w:rsid w:val="001C2738"/>
    <w:rsid w:val="001D7531"/>
    <w:rsid w:val="001E737D"/>
    <w:rsid w:val="001F0592"/>
    <w:rsid w:val="001F6419"/>
    <w:rsid w:val="001F7506"/>
    <w:rsid w:val="002006CD"/>
    <w:rsid w:val="00202B36"/>
    <w:rsid w:val="00204B7A"/>
    <w:rsid w:val="00204CDE"/>
    <w:rsid w:val="0021101A"/>
    <w:rsid w:val="00220536"/>
    <w:rsid w:val="00235629"/>
    <w:rsid w:val="00260289"/>
    <w:rsid w:val="00260C38"/>
    <w:rsid w:val="002616C0"/>
    <w:rsid w:val="002643DB"/>
    <w:rsid w:val="00265372"/>
    <w:rsid w:val="002662AA"/>
    <w:rsid w:val="00280496"/>
    <w:rsid w:val="00283D47"/>
    <w:rsid w:val="00294DC9"/>
    <w:rsid w:val="00295495"/>
    <w:rsid w:val="002A31DE"/>
    <w:rsid w:val="002A62F7"/>
    <w:rsid w:val="002B2613"/>
    <w:rsid w:val="002C1468"/>
    <w:rsid w:val="002D6D05"/>
    <w:rsid w:val="002F1818"/>
    <w:rsid w:val="002F5109"/>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2919"/>
    <w:rsid w:val="003D66DA"/>
    <w:rsid w:val="003E1310"/>
    <w:rsid w:val="003E2E6A"/>
    <w:rsid w:val="003E6F55"/>
    <w:rsid w:val="00406254"/>
    <w:rsid w:val="00410559"/>
    <w:rsid w:val="0041585D"/>
    <w:rsid w:val="00420B47"/>
    <w:rsid w:val="004223DE"/>
    <w:rsid w:val="00434489"/>
    <w:rsid w:val="00437085"/>
    <w:rsid w:val="00443880"/>
    <w:rsid w:val="004464F4"/>
    <w:rsid w:val="00447329"/>
    <w:rsid w:val="00471401"/>
    <w:rsid w:val="00473F31"/>
    <w:rsid w:val="0048263A"/>
    <w:rsid w:val="004826A2"/>
    <w:rsid w:val="00487E5D"/>
    <w:rsid w:val="004A711F"/>
    <w:rsid w:val="004B199D"/>
    <w:rsid w:val="004B4690"/>
    <w:rsid w:val="004E0A2D"/>
    <w:rsid w:val="004E206B"/>
    <w:rsid w:val="004E3607"/>
    <w:rsid w:val="004E6DF7"/>
    <w:rsid w:val="004F0FBD"/>
    <w:rsid w:val="00505A47"/>
    <w:rsid w:val="00512FDA"/>
    <w:rsid w:val="00520DA0"/>
    <w:rsid w:val="005664BB"/>
    <w:rsid w:val="00566FFA"/>
    <w:rsid w:val="0057481D"/>
    <w:rsid w:val="0058486E"/>
    <w:rsid w:val="00585B33"/>
    <w:rsid w:val="0059014D"/>
    <w:rsid w:val="005A09FD"/>
    <w:rsid w:val="005B0198"/>
    <w:rsid w:val="005B321C"/>
    <w:rsid w:val="005B5C64"/>
    <w:rsid w:val="005C5337"/>
    <w:rsid w:val="005C6BD0"/>
    <w:rsid w:val="005D1C8B"/>
    <w:rsid w:val="005D468D"/>
    <w:rsid w:val="005D5CED"/>
    <w:rsid w:val="005F1A4C"/>
    <w:rsid w:val="00605688"/>
    <w:rsid w:val="006070AF"/>
    <w:rsid w:val="00607E6C"/>
    <w:rsid w:val="006101B1"/>
    <w:rsid w:val="00614E44"/>
    <w:rsid w:val="00620030"/>
    <w:rsid w:val="0062270A"/>
    <w:rsid w:val="00622830"/>
    <w:rsid w:val="00623DA0"/>
    <w:rsid w:val="00630AEF"/>
    <w:rsid w:val="006325F8"/>
    <w:rsid w:val="00633463"/>
    <w:rsid w:val="00634C9A"/>
    <w:rsid w:val="00640417"/>
    <w:rsid w:val="00641F56"/>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516B"/>
    <w:rsid w:val="00746F48"/>
    <w:rsid w:val="0075404D"/>
    <w:rsid w:val="0076182A"/>
    <w:rsid w:val="00762406"/>
    <w:rsid w:val="0076493D"/>
    <w:rsid w:val="00767B7E"/>
    <w:rsid w:val="007770C3"/>
    <w:rsid w:val="00784D24"/>
    <w:rsid w:val="00785FBA"/>
    <w:rsid w:val="00786E4A"/>
    <w:rsid w:val="007875EB"/>
    <w:rsid w:val="0079426B"/>
    <w:rsid w:val="007D1682"/>
    <w:rsid w:val="007D312A"/>
    <w:rsid w:val="007D3F19"/>
    <w:rsid w:val="007E23B0"/>
    <w:rsid w:val="007E23E5"/>
    <w:rsid w:val="007E6A82"/>
    <w:rsid w:val="007F1991"/>
    <w:rsid w:val="007F2C2F"/>
    <w:rsid w:val="007F55FC"/>
    <w:rsid w:val="007F5665"/>
    <w:rsid w:val="007F7385"/>
    <w:rsid w:val="00800112"/>
    <w:rsid w:val="00813348"/>
    <w:rsid w:val="008253BB"/>
    <w:rsid w:val="0083706E"/>
    <w:rsid w:val="008408F6"/>
    <w:rsid w:val="008423A5"/>
    <w:rsid w:val="00850625"/>
    <w:rsid w:val="00853718"/>
    <w:rsid w:val="00855221"/>
    <w:rsid w:val="00860645"/>
    <w:rsid w:val="00871F71"/>
    <w:rsid w:val="00872FD8"/>
    <w:rsid w:val="00875641"/>
    <w:rsid w:val="00885AF4"/>
    <w:rsid w:val="00887F08"/>
    <w:rsid w:val="008914B9"/>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34F0"/>
    <w:rsid w:val="00935C98"/>
    <w:rsid w:val="00946945"/>
    <w:rsid w:val="00951248"/>
    <w:rsid w:val="0095152F"/>
    <w:rsid w:val="009546E4"/>
    <w:rsid w:val="00954C49"/>
    <w:rsid w:val="00955E37"/>
    <w:rsid w:val="0096116C"/>
    <w:rsid w:val="0097099F"/>
    <w:rsid w:val="00971997"/>
    <w:rsid w:val="00971FFC"/>
    <w:rsid w:val="0098660A"/>
    <w:rsid w:val="009931C3"/>
    <w:rsid w:val="009B2C43"/>
    <w:rsid w:val="009B4EAE"/>
    <w:rsid w:val="009B7573"/>
    <w:rsid w:val="009C22F4"/>
    <w:rsid w:val="009C2A4B"/>
    <w:rsid w:val="009C2E98"/>
    <w:rsid w:val="009D3447"/>
    <w:rsid w:val="009D4711"/>
    <w:rsid w:val="009E50C8"/>
    <w:rsid w:val="009F1185"/>
    <w:rsid w:val="009F18CD"/>
    <w:rsid w:val="009F2A13"/>
    <w:rsid w:val="009F7527"/>
    <w:rsid w:val="00A04EB0"/>
    <w:rsid w:val="00A13CC1"/>
    <w:rsid w:val="00A16847"/>
    <w:rsid w:val="00A237D8"/>
    <w:rsid w:val="00A25C9F"/>
    <w:rsid w:val="00A268C4"/>
    <w:rsid w:val="00A27C77"/>
    <w:rsid w:val="00A307CD"/>
    <w:rsid w:val="00A331C8"/>
    <w:rsid w:val="00A40A00"/>
    <w:rsid w:val="00A4142F"/>
    <w:rsid w:val="00A422EB"/>
    <w:rsid w:val="00A45BB7"/>
    <w:rsid w:val="00A56DF2"/>
    <w:rsid w:val="00A56E6E"/>
    <w:rsid w:val="00A67AB5"/>
    <w:rsid w:val="00A733B2"/>
    <w:rsid w:val="00A741C2"/>
    <w:rsid w:val="00A74A9E"/>
    <w:rsid w:val="00A91760"/>
    <w:rsid w:val="00A93B00"/>
    <w:rsid w:val="00A93C21"/>
    <w:rsid w:val="00AB64C9"/>
    <w:rsid w:val="00AC2E50"/>
    <w:rsid w:val="00AC3C6A"/>
    <w:rsid w:val="00AD5620"/>
    <w:rsid w:val="00AD656B"/>
    <w:rsid w:val="00AD7C1B"/>
    <w:rsid w:val="00AE16BA"/>
    <w:rsid w:val="00AE1EBE"/>
    <w:rsid w:val="00B03C9D"/>
    <w:rsid w:val="00B060AE"/>
    <w:rsid w:val="00B10517"/>
    <w:rsid w:val="00B12E8B"/>
    <w:rsid w:val="00B14E76"/>
    <w:rsid w:val="00B161B8"/>
    <w:rsid w:val="00B2048C"/>
    <w:rsid w:val="00B310B9"/>
    <w:rsid w:val="00B35F3F"/>
    <w:rsid w:val="00B36CBB"/>
    <w:rsid w:val="00B411A6"/>
    <w:rsid w:val="00B425E0"/>
    <w:rsid w:val="00B440AA"/>
    <w:rsid w:val="00B44B70"/>
    <w:rsid w:val="00B53C56"/>
    <w:rsid w:val="00B57DAF"/>
    <w:rsid w:val="00B76F9D"/>
    <w:rsid w:val="00B77EA6"/>
    <w:rsid w:val="00B81598"/>
    <w:rsid w:val="00B841F1"/>
    <w:rsid w:val="00B944D6"/>
    <w:rsid w:val="00BA579E"/>
    <w:rsid w:val="00BB4DF0"/>
    <w:rsid w:val="00BC289F"/>
    <w:rsid w:val="00BC2D50"/>
    <w:rsid w:val="00BC5361"/>
    <w:rsid w:val="00BC5460"/>
    <w:rsid w:val="00BC6B50"/>
    <w:rsid w:val="00BD0E25"/>
    <w:rsid w:val="00BF5BD6"/>
    <w:rsid w:val="00C03E31"/>
    <w:rsid w:val="00C33E72"/>
    <w:rsid w:val="00C354B2"/>
    <w:rsid w:val="00C35554"/>
    <w:rsid w:val="00C42709"/>
    <w:rsid w:val="00C46119"/>
    <w:rsid w:val="00C533CC"/>
    <w:rsid w:val="00C5751C"/>
    <w:rsid w:val="00C61BFC"/>
    <w:rsid w:val="00C62B85"/>
    <w:rsid w:val="00C65438"/>
    <w:rsid w:val="00C860D5"/>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950A1"/>
    <w:rsid w:val="00DA634F"/>
    <w:rsid w:val="00DA65AC"/>
    <w:rsid w:val="00DB1913"/>
    <w:rsid w:val="00DC410D"/>
    <w:rsid w:val="00DC5A81"/>
    <w:rsid w:val="00DC68CA"/>
    <w:rsid w:val="00DC7CBA"/>
    <w:rsid w:val="00DD73B7"/>
    <w:rsid w:val="00DF24DF"/>
    <w:rsid w:val="00DF28BC"/>
    <w:rsid w:val="00DF34B9"/>
    <w:rsid w:val="00E01053"/>
    <w:rsid w:val="00E01B70"/>
    <w:rsid w:val="00E07ACF"/>
    <w:rsid w:val="00E11813"/>
    <w:rsid w:val="00E331A1"/>
    <w:rsid w:val="00E33202"/>
    <w:rsid w:val="00E336A9"/>
    <w:rsid w:val="00E472B1"/>
    <w:rsid w:val="00E50624"/>
    <w:rsid w:val="00E568DF"/>
    <w:rsid w:val="00E64269"/>
    <w:rsid w:val="00E82267"/>
    <w:rsid w:val="00E853CE"/>
    <w:rsid w:val="00E867B6"/>
    <w:rsid w:val="00EA010F"/>
    <w:rsid w:val="00EB0FAE"/>
    <w:rsid w:val="00ED1B63"/>
    <w:rsid w:val="00ED3C1F"/>
    <w:rsid w:val="00ED4085"/>
    <w:rsid w:val="00ED420E"/>
    <w:rsid w:val="00ED6FBE"/>
    <w:rsid w:val="00EE2F57"/>
    <w:rsid w:val="00EF4C34"/>
    <w:rsid w:val="00EF77C6"/>
    <w:rsid w:val="00F03938"/>
    <w:rsid w:val="00F05438"/>
    <w:rsid w:val="00F1361C"/>
    <w:rsid w:val="00F156F0"/>
    <w:rsid w:val="00F160C7"/>
    <w:rsid w:val="00F2408F"/>
    <w:rsid w:val="00F240E9"/>
    <w:rsid w:val="00F36D8F"/>
    <w:rsid w:val="00F417B1"/>
    <w:rsid w:val="00F45853"/>
    <w:rsid w:val="00F5561B"/>
    <w:rsid w:val="00F602DF"/>
    <w:rsid w:val="00F754A1"/>
    <w:rsid w:val="00F81FD9"/>
    <w:rsid w:val="00F841AA"/>
    <w:rsid w:val="00F84A94"/>
    <w:rsid w:val="00F87E96"/>
    <w:rsid w:val="00FA23E8"/>
    <w:rsid w:val="00FA789D"/>
    <w:rsid w:val="00FC7DA4"/>
    <w:rsid w:val="00FD3CC1"/>
    <w:rsid w:val="00FF1E02"/>
    <w:rsid w:val="00FF30B4"/>
    <w:rsid w:val="015975B8"/>
    <w:rsid w:val="02A26487"/>
    <w:rsid w:val="02FEBE30"/>
    <w:rsid w:val="036F8141"/>
    <w:rsid w:val="03BB0937"/>
    <w:rsid w:val="050B2FCD"/>
    <w:rsid w:val="054D2E98"/>
    <w:rsid w:val="066E0107"/>
    <w:rsid w:val="07996F6E"/>
    <w:rsid w:val="07DFD8BA"/>
    <w:rsid w:val="0A2032A3"/>
    <w:rsid w:val="0C7E602C"/>
    <w:rsid w:val="0D35B1ED"/>
    <w:rsid w:val="0E7ED1F5"/>
    <w:rsid w:val="0F2422F5"/>
    <w:rsid w:val="0F2904D1"/>
    <w:rsid w:val="0F98263C"/>
    <w:rsid w:val="101860EC"/>
    <w:rsid w:val="101C3B92"/>
    <w:rsid w:val="10C055FF"/>
    <w:rsid w:val="117126A0"/>
    <w:rsid w:val="118107EC"/>
    <w:rsid w:val="11B65911"/>
    <w:rsid w:val="13D50BC4"/>
    <w:rsid w:val="13F5616D"/>
    <w:rsid w:val="1698726E"/>
    <w:rsid w:val="16BB723D"/>
    <w:rsid w:val="17F9714D"/>
    <w:rsid w:val="1918F934"/>
    <w:rsid w:val="198F7ACB"/>
    <w:rsid w:val="1BB12EB5"/>
    <w:rsid w:val="1BE8440E"/>
    <w:rsid w:val="1D155CEE"/>
    <w:rsid w:val="1DFBC4B3"/>
    <w:rsid w:val="1E740ACF"/>
    <w:rsid w:val="1E796654"/>
    <w:rsid w:val="1F19C781"/>
    <w:rsid w:val="1F33FCE5"/>
    <w:rsid w:val="1F7F7398"/>
    <w:rsid w:val="1FD2DB6F"/>
    <w:rsid w:val="1FEE0565"/>
    <w:rsid w:val="1FF35744"/>
    <w:rsid w:val="1FF6BC77"/>
    <w:rsid w:val="1FF835B4"/>
    <w:rsid w:val="1FF9236D"/>
    <w:rsid w:val="204F406D"/>
    <w:rsid w:val="2333840E"/>
    <w:rsid w:val="23860B96"/>
    <w:rsid w:val="240371BF"/>
    <w:rsid w:val="245175A7"/>
    <w:rsid w:val="257C638F"/>
    <w:rsid w:val="27181100"/>
    <w:rsid w:val="29475082"/>
    <w:rsid w:val="29FD04D3"/>
    <w:rsid w:val="2B977451"/>
    <w:rsid w:val="2BFF7BC6"/>
    <w:rsid w:val="2C57559B"/>
    <w:rsid w:val="2C8A61B5"/>
    <w:rsid w:val="2CD59C95"/>
    <w:rsid w:val="2D040447"/>
    <w:rsid w:val="2D3422B4"/>
    <w:rsid w:val="2DC35671"/>
    <w:rsid w:val="2DF04E50"/>
    <w:rsid w:val="2E554CE2"/>
    <w:rsid w:val="2E896AD3"/>
    <w:rsid w:val="2EC43A48"/>
    <w:rsid w:val="2EDA7AD7"/>
    <w:rsid w:val="2EFD05E5"/>
    <w:rsid w:val="2F040D46"/>
    <w:rsid w:val="2F4F95CE"/>
    <w:rsid w:val="2FACAFDD"/>
    <w:rsid w:val="2FAE5751"/>
    <w:rsid w:val="2FAF1ED5"/>
    <w:rsid w:val="2FB1A395"/>
    <w:rsid w:val="2FCF0B76"/>
    <w:rsid w:val="2FD9A7D8"/>
    <w:rsid w:val="319F7F4E"/>
    <w:rsid w:val="31D21C66"/>
    <w:rsid w:val="32330741"/>
    <w:rsid w:val="3304709D"/>
    <w:rsid w:val="332C3971"/>
    <w:rsid w:val="36AA5135"/>
    <w:rsid w:val="36BE0DA7"/>
    <w:rsid w:val="37597C1A"/>
    <w:rsid w:val="376B6AA6"/>
    <w:rsid w:val="376D39B2"/>
    <w:rsid w:val="37E16F03"/>
    <w:rsid w:val="37F53A3B"/>
    <w:rsid w:val="38D469F0"/>
    <w:rsid w:val="38F78389"/>
    <w:rsid w:val="397BAF1F"/>
    <w:rsid w:val="39E7B272"/>
    <w:rsid w:val="39F7642F"/>
    <w:rsid w:val="39FF7B37"/>
    <w:rsid w:val="3AB79AF3"/>
    <w:rsid w:val="3AFDCB77"/>
    <w:rsid w:val="3B7EF35A"/>
    <w:rsid w:val="3B9FDB6C"/>
    <w:rsid w:val="3BF5BC2F"/>
    <w:rsid w:val="3BF7C23A"/>
    <w:rsid w:val="3BFF223E"/>
    <w:rsid w:val="3C247DBC"/>
    <w:rsid w:val="3C6EC0A1"/>
    <w:rsid w:val="3CAC0137"/>
    <w:rsid w:val="3CDB0824"/>
    <w:rsid w:val="3CEBA265"/>
    <w:rsid w:val="3D6A7F9F"/>
    <w:rsid w:val="3D7E7F4D"/>
    <w:rsid w:val="3D98207C"/>
    <w:rsid w:val="3D9CF30A"/>
    <w:rsid w:val="3DAA0642"/>
    <w:rsid w:val="3DD06A30"/>
    <w:rsid w:val="3DFF5A3E"/>
    <w:rsid w:val="3E78745D"/>
    <w:rsid w:val="3EEE77E9"/>
    <w:rsid w:val="3F0D4805"/>
    <w:rsid w:val="3F394AF5"/>
    <w:rsid w:val="3F600A38"/>
    <w:rsid w:val="3FBE5714"/>
    <w:rsid w:val="3FDD8615"/>
    <w:rsid w:val="3FDFB2FF"/>
    <w:rsid w:val="3FF4CAE0"/>
    <w:rsid w:val="3FF75FAF"/>
    <w:rsid w:val="3FF7B227"/>
    <w:rsid w:val="403A4FC1"/>
    <w:rsid w:val="42156510"/>
    <w:rsid w:val="425E0B29"/>
    <w:rsid w:val="433E55F2"/>
    <w:rsid w:val="43CF3D23"/>
    <w:rsid w:val="43FD54AD"/>
    <w:rsid w:val="448C288F"/>
    <w:rsid w:val="44E268DA"/>
    <w:rsid w:val="457F4F6B"/>
    <w:rsid w:val="460F2D5A"/>
    <w:rsid w:val="461E73ED"/>
    <w:rsid w:val="4737FB58"/>
    <w:rsid w:val="47937B86"/>
    <w:rsid w:val="47ECCB02"/>
    <w:rsid w:val="47FA6A3F"/>
    <w:rsid w:val="4833408E"/>
    <w:rsid w:val="4983539C"/>
    <w:rsid w:val="49D7AE48"/>
    <w:rsid w:val="4A3F6C7E"/>
    <w:rsid w:val="4A627F82"/>
    <w:rsid w:val="4B0E749A"/>
    <w:rsid w:val="4B4F25DA"/>
    <w:rsid w:val="4BBB4781"/>
    <w:rsid w:val="4BD709A5"/>
    <w:rsid w:val="4BDD9BFF"/>
    <w:rsid w:val="4BE068DB"/>
    <w:rsid w:val="4CFE1C09"/>
    <w:rsid w:val="4D577224"/>
    <w:rsid w:val="4DBF1CEB"/>
    <w:rsid w:val="4DBF6A6B"/>
    <w:rsid w:val="4DF6A672"/>
    <w:rsid w:val="4EAB630A"/>
    <w:rsid w:val="4ECE2238"/>
    <w:rsid w:val="4F7EA413"/>
    <w:rsid w:val="4FAB812F"/>
    <w:rsid w:val="4FE9BD67"/>
    <w:rsid w:val="4FEE4C07"/>
    <w:rsid w:val="4FFB052F"/>
    <w:rsid w:val="50363869"/>
    <w:rsid w:val="50762EED"/>
    <w:rsid w:val="50F814D6"/>
    <w:rsid w:val="513F30B8"/>
    <w:rsid w:val="51AA03E9"/>
    <w:rsid w:val="537E6D0A"/>
    <w:rsid w:val="53AB6B88"/>
    <w:rsid w:val="53F74C96"/>
    <w:rsid w:val="54266560"/>
    <w:rsid w:val="54587ECD"/>
    <w:rsid w:val="5551374B"/>
    <w:rsid w:val="5583522D"/>
    <w:rsid w:val="567A298E"/>
    <w:rsid w:val="56C27D8B"/>
    <w:rsid w:val="579923B0"/>
    <w:rsid w:val="57BD3DD4"/>
    <w:rsid w:val="57F9CD1E"/>
    <w:rsid w:val="589F3BEB"/>
    <w:rsid w:val="5943350B"/>
    <w:rsid w:val="5A3D6A85"/>
    <w:rsid w:val="5A9414B2"/>
    <w:rsid w:val="5AF92295"/>
    <w:rsid w:val="5AF9D8E9"/>
    <w:rsid w:val="5B4F0A22"/>
    <w:rsid w:val="5B7062B2"/>
    <w:rsid w:val="5BDD38BD"/>
    <w:rsid w:val="5BDD79E6"/>
    <w:rsid w:val="5BEFC772"/>
    <w:rsid w:val="5BFF5DFC"/>
    <w:rsid w:val="5C2142BE"/>
    <w:rsid w:val="5C9E3C9E"/>
    <w:rsid w:val="5CD71FC4"/>
    <w:rsid w:val="5D0B6EAB"/>
    <w:rsid w:val="5D1F11B5"/>
    <w:rsid w:val="5D3647F9"/>
    <w:rsid w:val="5DA644D4"/>
    <w:rsid w:val="5DAE1B18"/>
    <w:rsid w:val="5DC310BE"/>
    <w:rsid w:val="5DCD72AC"/>
    <w:rsid w:val="5DE333F4"/>
    <w:rsid w:val="5DE7D9E5"/>
    <w:rsid w:val="5DF748C4"/>
    <w:rsid w:val="5ECEC941"/>
    <w:rsid w:val="5EFF8FC6"/>
    <w:rsid w:val="5F311FB3"/>
    <w:rsid w:val="5F5BA39A"/>
    <w:rsid w:val="5F7D3B79"/>
    <w:rsid w:val="5F7F4610"/>
    <w:rsid w:val="5FBF9FF3"/>
    <w:rsid w:val="5FCD4E2C"/>
    <w:rsid w:val="5FDF1911"/>
    <w:rsid w:val="5FEF394A"/>
    <w:rsid w:val="5FF67715"/>
    <w:rsid w:val="60A200ED"/>
    <w:rsid w:val="60EE6452"/>
    <w:rsid w:val="61287B52"/>
    <w:rsid w:val="619F7CD0"/>
    <w:rsid w:val="61CA71D5"/>
    <w:rsid w:val="627EE9EA"/>
    <w:rsid w:val="62F31AFE"/>
    <w:rsid w:val="63B23AA5"/>
    <w:rsid w:val="6401221B"/>
    <w:rsid w:val="647F5392"/>
    <w:rsid w:val="64CF6588"/>
    <w:rsid w:val="64E322C4"/>
    <w:rsid w:val="65FB93B9"/>
    <w:rsid w:val="6633C463"/>
    <w:rsid w:val="67D55B77"/>
    <w:rsid w:val="67EE7F84"/>
    <w:rsid w:val="68273FF7"/>
    <w:rsid w:val="686F5F53"/>
    <w:rsid w:val="695D15DC"/>
    <w:rsid w:val="69C97F5F"/>
    <w:rsid w:val="6AA349E9"/>
    <w:rsid w:val="6AFFCEAF"/>
    <w:rsid w:val="6B800B69"/>
    <w:rsid w:val="6B96E9E6"/>
    <w:rsid w:val="6BCE57B5"/>
    <w:rsid w:val="6BFEA4DB"/>
    <w:rsid w:val="6BFFB662"/>
    <w:rsid w:val="6C4A05C8"/>
    <w:rsid w:val="6C860526"/>
    <w:rsid w:val="6CFF4FB8"/>
    <w:rsid w:val="6D6BD6E0"/>
    <w:rsid w:val="6D77E73C"/>
    <w:rsid w:val="6DA02882"/>
    <w:rsid w:val="6DBF5E93"/>
    <w:rsid w:val="6DFF077E"/>
    <w:rsid w:val="6E7E3605"/>
    <w:rsid w:val="6E7FDCC7"/>
    <w:rsid w:val="6ED6A62E"/>
    <w:rsid w:val="6EE00B15"/>
    <w:rsid w:val="6EE737B2"/>
    <w:rsid w:val="6EEB2329"/>
    <w:rsid w:val="6EECE67A"/>
    <w:rsid w:val="6F6F90A8"/>
    <w:rsid w:val="6F6FB3EB"/>
    <w:rsid w:val="6F8731EA"/>
    <w:rsid w:val="6FBC2ADD"/>
    <w:rsid w:val="6FD57C00"/>
    <w:rsid w:val="6FEFFFD8"/>
    <w:rsid w:val="6FF5CC65"/>
    <w:rsid w:val="6FFB47EC"/>
    <w:rsid w:val="6FFF034A"/>
    <w:rsid w:val="712A28F1"/>
    <w:rsid w:val="715C0E4B"/>
    <w:rsid w:val="71FFD401"/>
    <w:rsid w:val="72233669"/>
    <w:rsid w:val="72734D90"/>
    <w:rsid w:val="7332FE48"/>
    <w:rsid w:val="737F118B"/>
    <w:rsid w:val="73AD73D5"/>
    <w:rsid w:val="73B6EB34"/>
    <w:rsid w:val="73FA497D"/>
    <w:rsid w:val="740A6CA7"/>
    <w:rsid w:val="744731E5"/>
    <w:rsid w:val="74BBD01D"/>
    <w:rsid w:val="74ED5379"/>
    <w:rsid w:val="75DEEEC2"/>
    <w:rsid w:val="765E1D51"/>
    <w:rsid w:val="767F479D"/>
    <w:rsid w:val="76E3355F"/>
    <w:rsid w:val="76F742AF"/>
    <w:rsid w:val="76F7BE7D"/>
    <w:rsid w:val="76FF5125"/>
    <w:rsid w:val="773570D3"/>
    <w:rsid w:val="77597F31"/>
    <w:rsid w:val="776F6FFA"/>
    <w:rsid w:val="7777A522"/>
    <w:rsid w:val="77858688"/>
    <w:rsid w:val="778769C8"/>
    <w:rsid w:val="77956E3D"/>
    <w:rsid w:val="77CB741A"/>
    <w:rsid w:val="77D7BE3A"/>
    <w:rsid w:val="77DC22F5"/>
    <w:rsid w:val="78FB5758"/>
    <w:rsid w:val="797E3A6C"/>
    <w:rsid w:val="79992F3A"/>
    <w:rsid w:val="79CF70E2"/>
    <w:rsid w:val="79D7FD79"/>
    <w:rsid w:val="79E75806"/>
    <w:rsid w:val="79EE5BA4"/>
    <w:rsid w:val="7A044199"/>
    <w:rsid w:val="7A641148"/>
    <w:rsid w:val="7A6F8BF5"/>
    <w:rsid w:val="7A894339"/>
    <w:rsid w:val="7ACF82B5"/>
    <w:rsid w:val="7AFF28C9"/>
    <w:rsid w:val="7AFF72A0"/>
    <w:rsid w:val="7AFF7572"/>
    <w:rsid w:val="7B6C7DFB"/>
    <w:rsid w:val="7B7D76A7"/>
    <w:rsid w:val="7BAE2FE2"/>
    <w:rsid w:val="7BAF6951"/>
    <w:rsid w:val="7BBFBED0"/>
    <w:rsid w:val="7BC3E394"/>
    <w:rsid w:val="7BF3FE4C"/>
    <w:rsid w:val="7BFB5035"/>
    <w:rsid w:val="7BFDE17E"/>
    <w:rsid w:val="7C490589"/>
    <w:rsid w:val="7CBFC87B"/>
    <w:rsid w:val="7CE25089"/>
    <w:rsid w:val="7CFE0F48"/>
    <w:rsid w:val="7D2045B2"/>
    <w:rsid w:val="7D3DE31C"/>
    <w:rsid w:val="7D7EC23E"/>
    <w:rsid w:val="7D7F8A13"/>
    <w:rsid w:val="7DBBCB01"/>
    <w:rsid w:val="7DC765D0"/>
    <w:rsid w:val="7DD552DA"/>
    <w:rsid w:val="7DDB0EE0"/>
    <w:rsid w:val="7DFF51D8"/>
    <w:rsid w:val="7E634199"/>
    <w:rsid w:val="7E8ADEBF"/>
    <w:rsid w:val="7EEF11D3"/>
    <w:rsid w:val="7EF78C20"/>
    <w:rsid w:val="7F3F679B"/>
    <w:rsid w:val="7F4FC4EF"/>
    <w:rsid w:val="7F5E4D54"/>
    <w:rsid w:val="7F6B75FA"/>
    <w:rsid w:val="7F9F518D"/>
    <w:rsid w:val="7FA30C79"/>
    <w:rsid w:val="7FAF8ABF"/>
    <w:rsid w:val="7FB7269E"/>
    <w:rsid w:val="7FBD6753"/>
    <w:rsid w:val="7FBFABB4"/>
    <w:rsid w:val="7FC65084"/>
    <w:rsid w:val="7FC96657"/>
    <w:rsid w:val="7FD72595"/>
    <w:rsid w:val="7FDA9588"/>
    <w:rsid w:val="7FDF220F"/>
    <w:rsid w:val="7FDF4542"/>
    <w:rsid w:val="7FDF5405"/>
    <w:rsid w:val="7FEDC251"/>
    <w:rsid w:val="7FEDC5F7"/>
    <w:rsid w:val="7FEDD9DE"/>
    <w:rsid w:val="7FEFCDB9"/>
    <w:rsid w:val="7FF5890D"/>
    <w:rsid w:val="7FF5EB09"/>
    <w:rsid w:val="7FF89B92"/>
    <w:rsid w:val="7FF8F2E7"/>
    <w:rsid w:val="7FF93490"/>
    <w:rsid w:val="7FFA6237"/>
    <w:rsid w:val="7FFB5275"/>
    <w:rsid w:val="7FFD14DE"/>
    <w:rsid w:val="7FFFF783"/>
    <w:rsid w:val="93F70A9E"/>
    <w:rsid w:val="997D060E"/>
    <w:rsid w:val="99FF2014"/>
    <w:rsid w:val="9E59F895"/>
    <w:rsid w:val="9E7DEDC1"/>
    <w:rsid w:val="9EEF2B0D"/>
    <w:rsid w:val="9FF6F2A6"/>
    <w:rsid w:val="9FFE4AD9"/>
    <w:rsid w:val="9FFF61B9"/>
    <w:rsid w:val="A6DD0D7F"/>
    <w:rsid w:val="A7955197"/>
    <w:rsid w:val="A7FE5E0E"/>
    <w:rsid w:val="ADC6F725"/>
    <w:rsid w:val="AF0FFA84"/>
    <w:rsid w:val="AF9F0A5E"/>
    <w:rsid w:val="AFEF7964"/>
    <w:rsid w:val="B27A6F28"/>
    <w:rsid w:val="B35F0D5A"/>
    <w:rsid w:val="B3F7F693"/>
    <w:rsid w:val="B3FBBB6C"/>
    <w:rsid w:val="B5FFE407"/>
    <w:rsid w:val="B7CF06AB"/>
    <w:rsid w:val="B7CFA926"/>
    <w:rsid w:val="B7F8786B"/>
    <w:rsid w:val="B9EF5647"/>
    <w:rsid w:val="BABB6AA1"/>
    <w:rsid w:val="BAFCD398"/>
    <w:rsid w:val="BAFFDA0F"/>
    <w:rsid w:val="BB2F4199"/>
    <w:rsid w:val="BBFBD24E"/>
    <w:rsid w:val="BD079C78"/>
    <w:rsid w:val="BD2DD278"/>
    <w:rsid w:val="BD733540"/>
    <w:rsid w:val="BDF7970E"/>
    <w:rsid w:val="BDFE68BD"/>
    <w:rsid w:val="BE6FC990"/>
    <w:rsid w:val="BEBE9537"/>
    <w:rsid w:val="BEFF0D62"/>
    <w:rsid w:val="BEFF90EF"/>
    <w:rsid w:val="BF3735D5"/>
    <w:rsid w:val="BF7F09AC"/>
    <w:rsid w:val="BFB3380D"/>
    <w:rsid w:val="BFB7E7A2"/>
    <w:rsid w:val="BFC2F103"/>
    <w:rsid w:val="BFD475C3"/>
    <w:rsid w:val="BFDE5EA6"/>
    <w:rsid w:val="BFEF99E9"/>
    <w:rsid w:val="BFF9E564"/>
    <w:rsid w:val="BFFF3A69"/>
    <w:rsid w:val="C7BFEF9C"/>
    <w:rsid w:val="C8BD8F25"/>
    <w:rsid w:val="C94DA72E"/>
    <w:rsid w:val="CBEEAA00"/>
    <w:rsid w:val="CC7E9ECE"/>
    <w:rsid w:val="CDBFF9FF"/>
    <w:rsid w:val="CDF78664"/>
    <w:rsid w:val="CE3FF57E"/>
    <w:rsid w:val="CF3AB4AC"/>
    <w:rsid w:val="CF6FC6F3"/>
    <w:rsid w:val="CFD3D3D7"/>
    <w:rsid w:val="CFDF1009"/>
    <w:rsid w:val="D6B7E4F6"/>
    <w:rsid w:val="D6CB2739"/>
    <w:rsid w:val="D776A8DB"/>
    <w:rsid w:val="D7B6B268"/>
    <w:rsid w:val="D7D7B16A"/>
    <w:rsid w:val="D7EF2E2A"/>
    <w:rsid w:val="D8D6DB89"/>
    <w:rsid w:val="DB6F4CAB"/>
    <w:rsid w:val="DB777682"/>
    <w:rsid w:val="DBDDA52A"/>
    <w:rsid w:val="DCFFC0D1"/>
    <w:rsid w:val="DD1FB521"/>
    <w:rsid w:val="DDCB2E5E"/>
    <w:rsid w:val="DDFE75CA"/>
    <w:rsid w:val="DEFBBE33"/>
    <w:rsid w:val="DEFBFEAE"/>
    <w:rsid w:val="DF1F3B80"/>
    <w:rsid w:val="DF6F9789"/>
    <w:rsid w:val="DF9B8D55"/>
    <w:rsid w:val="DF9D198A"/>
    <w:rsid w:val="DFDF1D8E"/>
    <w:rsid w:val="DFEFC58B"/>
    <w:rsid w:val="DFF5F241"/>
    <w:rsid w:val="DFFFA9E8"/>
    <w:rsid w:val="E37D5D3F"/>
    <w:rsid w:val="E3FFE98D"/>
    <w:rsid w:val="E5F4E9DC"/>
    <w:rsid w:val="E67FF583"/>
    <w:rsid w:val="E70FE695"/>
    <w:rsid w:val="E7676621"/>
    <w:rsid w:val="E76B2B9A"/>
    <w:rsid w:val="E7AB7A34"/>
    <w:rsid w:val="E7DF1E20"/>
    <w:rsid w:val="E7FF6381"/>
    <w:rsid w:val="E9A30291"/>
    <w:rsid w:val="EBBF924C"/>
    <w:rsid w:val="ECFED1BC"/>
    <w:rsid w:val="ED1D69BB"/>
    <w:rsid w:val="ED2C2584"/>
    <w:rsid w:val="ED7FD312"/>
    <w:rsid w:val="EDBE03E0"/>
    <w:rsid w:val="EDD1A84A"/>
    <w:rsid w:val="EDFF8263"/>
    <w:rsid w:val="EE1FA0C7"/>
    <w:rsid w:val="EF53993F"/>
    <w:rsid w:val="EF7B8152"/>
    <w:rsid w:val="EF8E27E2"/>
    <w:rsid w:val="EFBFB2F4"/>
    <w:rsid w:val="EFBFFA21"/>
    <w:rsid w:val="EFDF4337"/>
    <w:rsid w:val="EFF7097E"/>
    <w:rsid w:val="F2BEBCB8"/>
    <w:rsid w:val="F36FB518"/>
    <w:rsid w:val="F3DE1A04"/>
    <w:rsid w:val="F3E244FA"/>
    <w:rsid w:val="F3EFB7CA"/>
    <w:rsid w:val="F3F722E5"/>
    <w:rsid w:val="F699BB1A"/>
    <w:rsid w:val="F6DEABFE"/>
    <w:rsid w:val="F7B650C7"/>
    <w:rsid w:val="F7EF9033"/>
    <w:rsid w:val="F7FDC2B1"/>
    <w:rsid w:val="F8DDDAC6"/>
    <w:rsid w:val="F96B55C8"/>
    <w:rsid w:val="FA2F5BEB"/>
    <w:rsid w:val="FA5F1E70"/>
    <w:rsid w:val="FA5FDB97"/>
    <w:rsid w:val="FB1BB959"/>
    <w:rsid w:val="FB75E3C8"/>
    <w:rsid w:val="FB7F461B"/>
    <w:rsid w:val="FB7F486A"/>
    <w:rsid w:val="FB7F6E28"/>
    <w:rsid w:val="FB8778F4"/>
    <w:rsid w:val="FBB61866"/>
    <w:rsid w:val="FBEE055A"/>
    <w:rsid w:val="FBF91527"/>
    <w:rsid w:val="FBFD1260"/>
    <w:rsid w:val="FBFF5B2E"/>
    <w:rsid w:val="FC833EBB"/>
    <w:rsid w:val="FCFE0B49"/>
    <w:rsid w:val="FD4B388D"/>
    <w:rsid w:val="FD77A83C"/>
    <w:rsid w:val="FD7FFE2B"/>
    <w:rsid w:val="FDADA43D"/>
    <w:rsid w:val="FDBDC432"/>
    <w:rsid w:val="FDEB412A"/>
    <w:rsid w:val="FDEE196B"/>
    <w:rsid w:val="FDEF50BC"/>
    <w:rsid w:val="FDFD5EC3"/>
    <w:rsid w:val="FDFE6575"/>
    <w:rsid w:val="FE9E11AB"/>
    <w:rsid w:val="FEBF38CD"/>
    <w:rsid w:val="FEDFDDC2"/>
    <w:rsid w:val="FEEB4E4D"/>
    <w:rsid w:val="FEED32F6"/>
    <w:rsid w:val="FEF781DD"/>
    <w:rsid w:val="FEF9D8C4"/>
    <w:rsid w:val="FF3F7E3F"/>
    <w:rsid w:val="FF3FF759"/>
    <w:rsid w:val="FF4749A3"/>
    <w:rsid w:val="FF4D3A28"/>
    <w:rsid w:val="FF5913BC"/>
    <w:rsid w:val="FF7F1E7E"/>
    <w:rsid w:val="FF9BAA5C"/>
    <w:rsid w:val="FFA57884"/>
    <w:rsid w:val="FFB513DD"/>
    <w:rsid w:val="FFBA12D7"/>
    <w:rsid w:val="FFBFE8C6"/>
    <w:rsid w:val="FFCF2925"/>
    <w:rsid w:val="FFD33B6C"/>
    <w:rsid w:val="FFDAD824"/>
    <w:rsid w:val="FFDE4064"/>
    <w:rsid w:val="FFDEA9D8"/>
    <w:rsid w:val="FFDF2DEC"/>
    <w:rsid w:val="FFDF624E"/>
    <w:rsid w:val="FFDF6BC0"/>
    <w:rsid w:val="FFDFFAEE"/>
    <w:rsid w:val="FFE3BA41"/>
    <w:rsid w:val="FFE3BED4"/>
    <w:rsid w:val="FFF316C1"/>
    <w:rsid w:val="FFF63ECC"/>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3"/>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szCs w:val="20"/>
    </w:rPr>
  </w:style>
  <w:style w:type="paragraph" w:styleId="6">
    <w:name w:val="Body Text"/>
    <w:basedOn w:val="1"/>
    <w:link w:val="26"/>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200"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2"/>
    <w:semiHidden/>
    <w:unhideWhenUsed/>
    <w:qFormat/>
    <w:uiPriority w:val="99"/>
    <w:rPr>
      <w:sz w:val="18"/>
      <w:szCs w:val="18"/>
    </w:rPr>
  </w:style>
  <w:style w:type="paragraph" w:styleId="10">
    <w:name w:val="footer"/>
    <w:basedOn w:val="1"/>
    <w:link w:val="24"/>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2"/>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oc 2"/>
    <w:basedOn w:val="1"/>
    <w:next w:val="1"/>
    <w:unhideWhenUsed/>
    <w:qFormat/>
    <w:uiPriority w:val="39"/>
    <w:pPr>
      <w:tabs>
        <w:tab w:val="right" w:leader="dot" w:pos="8296"/>
      </w:tabs>
      <w:ind w:left="420" w:leftChars="200"/>
    </w:pPr>
  </w:style>
  <w:style w:type="paragraph" w:styleId="14">
    <w:name w:val="Normal (Web)"/>
    <w:basedOn w:val="1"/>
    <w:semiHidden/>
    <w:qFormat/>
    <w:uiPriority w:val="99"/>
    <w:pPr>
      <w:spacing w:beforeAutospacing="1" w:after="100" w:afterAutospacing="1"/>
    </w:pPr>
    <w:rPr>
      <w:sz w:val="24"/>
    </w:rPr>
  </w:style>
  <w:style w:type="paragraph" w:styleId="15">
    <w:name w:val="Body Text First Indent 2"/>
    <w:basedOn w:val="7"/>
    <w:unhideWhenUsed/>
    <w:qFormat/>
    <w:uiPriority w:val="99"/>
    <w:pPr>
      <w:ind w:firstLine="420" w:firstLine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paragraph" w:customStyle="1" w:styleId="20">
    <w:name w:val="标题 5（有编号）（绿盟科技）"/>
    <w:next w:val="1"/>
    <w:qFormat/>
    <w:uiPriority w:val="99"/>
    <w:pPr>
      <w:keepNext/>
      <w:keepLines/>
      <w:widowControl w:val="0"/>
      <w:spacing w:before="280" w:after="156" w:line="377" w:lineRule="auto"/>
      <w:outlineLvl w:val="4"/>
    </w:pPr>
    <w:rPr>
      <w:rFonts w:ascii="Arial" w:hAnsi="Arial" w:eastAsia="黑体" w:cs="Times New Roman"/>
      <w:b/>
      <w:kern w:val="2"/>
      <w:sz w:val="24"/>
      <w:szCs w:val="28"/>
      <w:lang w:val="en-US" w:eastAsia="zh-CN" w:bidi="ar-SA"/>
    </w:rPr>
  </w:style>
  <w:style w:type="character" w:customStyle="1" w:styleId="21">
    <w:name w:val="Header Char"/>
    <w:basedOn w:val="17"/>
    <w:semiHidden/>
    <w:qFormat/>
    <w:uiPriority w:val="99"/>
    <w:rPr>
      <w:rFonts w:ascii="Times New Roman" w:hAnsi="Times New Roman"/>
      <w:sz w:val="18"/>
      <w:szCs w:val="18"/>
    </w:rPr>
  </w:style>
  <w:style w:type="character" w:customStyle="1" w:styleId="22">
    <w:name w:val="页眉 字符"/>
    <w:link w:val="11"/>
    <w:semiHidden/>
    <w:qFormat/>
    <w:locked/>
    <w:uiPriority w:val="99"/>
    <w:rPr>
      <w:sz w:val="18"/>
    </w:rPr>
  </w:style>
  <w:style w:type="character" w:customStyle="1" w:styleId="23">
    <w:name w:val="Footer Char"/>
    <w:basedOn w:val="17"/>
    <w:semiHidden/>
    <w:qFormat/>
    <w:uiPriority w:val="99"/>
    <w:rPr>
      <w:rFonts w:ascii="Times New Roman" w:hAnsi="Times New Roman"/>
      <w:sz w:val="18"/>
      <w:szCs w:val="18"/>
    </w:rPr>
  </w:style>
  <w:style w:type="character" w:customStyle="1" w:styleId="24">
    <w:name w:val="页脚 字符"/>
    <w:link w:val="10"/>
    <w:qFormat/>
    <w:locked/>
    <w:uiPriority w:val="99"/>
    <w:rPr>
      <w:sz w:val="18"/>
    </w:rPr>
  </w:style>
  <w:style w:type="character" w:customStyle="1" w:styleId="25">
    <w:name w:val="Body Text Char"/>
    <w:basedOn w:val="17"/>
    <w:semiHidden/>
    <w:qFormat/>
    <w:uiPriority w:val="99"/>
    <w:rPr>
      <w:rFonts w:ascii="Times New Roman" w:hAnsi="Times New Roman"/>
      <w:szCs w:val="24"/>
    </w:rPr>
  </w:style>
  <w:style w:type="character" w:customStyle="1" w:styleId="26">
    <w:name w:val="正文文本 字符"/>
    <w:link w:val="6"/>
    <w:qFormat/>
    <w:locked/>
    <w:uiPriority w:val="99"/>
    <w:rPr>
      <w:rFonts w:ascii="仿宋_GB2312" w:hAnsi="Times New Roman" w:eastAsia="仿宋_GB2312"/>
      <w:sz w:val="24"/>
    </w:rPr>
  </w:style>
  <w:style w:type="paragraph" w:customStyle="1" w:styleId="27">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8">
    <w:name w:val="List Paragraph"/>
    <w:basedOn w:val="1"/>
    <w:qFormat/>
    <w:uiPriority w:val="34"/>
    <w:pPr>
      <w:ind w:firstLine="420" w:firstLineChars="200"/>
    </w:pPr>
  </w:style>
  <w:style w:type="character" w:customStyle="1" w:styleId="29">
    <w:name w:val="标题 1 字符"/>
    <w:basedOn w:val="17"/>
    <w:link w:val="2"/>
    <w:qFormat/>
    <w:uiPriority w:val="9"/>
    <w:rPr>
      <w:rFonts w:ascii="Times New Roman" w:hAnsi="Times New Roman"/>
      <w:b/>
      <w:bCs/>
      <w:kern w:val="44"/>
      <w:sz w:val="44"/>
      <w:szCs w:val="44"/>
    </w:rPr>
  </w:style>
  <w:style w:type="character" w:customStyle="1" w:styleId="30">
    <w:name w:val="标题 2 字符"/>
    <w:basedOn w:val="17"/>
    <w:link w:val="3"/>
    <w:qFormat/>
    <w:uiPriority w:val="9"/>
    <w:rPr>
      <w:rFonts w:asciiTheme="majorHAnsi" w:hAnsiTheme="majorHAnsi" w:eastAsiaTheme="majorEastAsia" w:cstheme="majorBidi"/>
      <w:b/>
      <w:bCs/>
      <w:kern w:val="2"/>
      <w:sz w:val="32"/>
      <w:szCs w:val="32"/>
    </w:rPr>
  </w:style>
  <w:style w:type="paragraph" w:customStyle="1" w:styleId="31">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2">
    <w:name w:val="批注框文本 字符"/>
    <w:basedOn w:val="17"/>
    <w:link w:val="9"/>
    <w:semiHidden/>
    <w:qFormat/>
    <w:uiPriority w:val="99"/>
    <w:rPr>
      <w:rFonts w:ascii="Times New Roman" w:hAnsi="Times New Roman"/>
      <w:kern w:val="2"/>
      <w:sz w:val="18"/>
      <w:szCs w:val="18"/>
    </w:rPr>
  </w:style>
  <w:style w:type="character" w:customStyle="1" w:styleId="33">
    <w:name w:val="标题 3 字符"/>
    <w:basedOn w:val="17"/>
    <w:link w:val="4"/>
    <w:qFormat/>
    <w:uiPriority w:val="9"/>
    <w:rPr>
      <w:rFonts w:ascii="Times New Roman" w:hAnsi="Times New Roman"/>
      <w:b/>
      <w:bCs/>
      <w:kern w:val="2"/>
      <w:sz w:val="32"/>
      <w:szCs w:val="32"/>
    </w:rPr>
  </w:style>
  <w:style w:type="paragraph" w:customStyle="1" w:styleId="34">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color w:val="000000"/>
      <w:kern w:val="0"/>
      <w:sz w:val="28"/>
      <w:szCs w:val="21"/>
      <w:lang w:val="zh-CN"/>
    </w:rPr>
  </w:style>
  <w:style w:type="character" w:customStyle="1" w:styleId="36">
    <w:name w:val="默认段落字体2"/>
    <w:qFormat/>
    <w:uiPriority w:val="0"/>
    <w:rPr>
      <w:sz w:val="22"/>
    </w:rPr>
  </w:style>
  <w:style w:type="paragraph" w:customStyle="1" w:styleId="37">
    <w:name w:val="WPSOffice手动目录 1"/>
    <w:qFormat/>
    <w:uiPriority w:val="0"/>
    <w:pPr>
      <w:ind w:leftChars="0"/>
    </w:pPr>
    <w:rPr>
      <w:rFonts w:asciiTheme="minorHAnsi" w:hAnsiTheme="minorHAnsi" w:eastAsiaTheme="minorEastAsia" w:cstheme="minorBidi"/>
      <w:sz w:val="20"/>
      <w:szCs w:val="20"/>
    </w:rPr>
  </w:style>
  <w:style w:type="paragraph" w:customStyle="1" w:styleId="38">
    <w:name w:val="WPSOffice手动目录 2"/>
    <w:qFormat/>
    <w:uiPriority w:val="0"/>
    <w:pPr>
      <w:ind w:leftChars="200"/>
    </w:pPr>
    <w:rPr>
      <w:rFonts w:asciiTheme="minorHAnsi" w:hAnsiTheme="minorHAnsi" w:eastAsiaTheme="minorEastAsia" w:cstheme="minorBidi"/>
      <w:sz w:val="20"/>
      <w:szCs w:val="20"/>
    </w:rPr>
  </w:style>
  <w:style w:type="paragraph" w:customStyle="1" w:styleId="39">
    <w:name w:val="Table Text"/>
    <w:basedOn w:val="1"/>
    <w:semiHidden/>
    <w:qFormat/>
    <w:uiPriority w:val="0"/>
    <w:rPr>
      <w:rFonts w:ascii="宋体" w:hAnsi="宋体" w:eastAsia="宋体" w:cs="宋体"/>
      <w:sz w:val="19"/>
      <w:szCs w:val="19"/>
      <w:lang w:val="en-US" w:eastAsia="en-US" w:bidi="ar-SA"/>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正文2"/>
    <w:basedOn w:val="1"/>
    <w:next w:val="1"/>
    <w:qFormat/>
    <w:uiPriority w:val="0"/>
  </w:style>
  <w:style w:type="character" w:customStyle="1" w:styleId="42">
    <w:name w:val="font01"/>
    <w:qFormat/>
    <w:uiPriority w:val="0"/>
    <w:rPr>
      <w:rFonts w:ascii="宋体" w:eastAsia="宋体"/>
      <w:color w:val="000000"/>
      <w:sz w:val="1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chart" Target="charts/chart7.xml"/><Relationship Id="rId2" Type="http://schemas.openxmlformats.org/officeDocument/2006/relationships/settings" Target="settings.xml"/><Relationship Id="rId19" Type="http://schemas.openxmlformats.org/officeDocument/2006/relationships/chart" Target="charts/chart6.xml"/><Relationship Id="rId18" Type="http://schemas.openxmlformats.org/officeDocument/2006/relationships/chart" Target="charts/chart5.xml"/><Relationship Id="rId17" Type="http://schemas.openxmlformats.org/officeDocument/2006/relationships/chart" Target="charts/chart4.xml"/><Relationship Id="rId16" Type="http://schemas.openxmlformats.org/officeDocument/2006/relationships/chart" Target="charts/chart3.xml"/><Relationship Id="rId15" Type="http://schemas.openxmlformats.org/officeDocument/2006/relationships/chart" Target="charts/chart2.xml"/><Relationship Id="rId14" Type="http://schemas.openxmlformats.org/officeDocument/2006/relationships/chart" Target="charts/chart1.xml"/><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32489;&#25928;\&#32479;&#35745;&#2227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32489;&#25928;\&#32479;&#35745;&#2227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E:\&#32489;&#25928;\&#32479;&#35745;&#2227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E:\&#32489;&#25928;\&#32479;&#35745;&#2227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E:\&#32489;&#25928;\&#32479;&#35745;&#2227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E:\&#32489;&#25928;\&#32479;&#35745;&#2227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E:\&#32489;&#25928;\&#32479;&#35745;&#2227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a:t>
            </a:r>
            <a:r>
              <a:t>决算收支对比图</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dPt>
          <c:dPt>
            <c:idx val="2"/>
            <c:invertIfNegative val="0"/>
            <c:bubble3D val="0"/>
            <c:spPr>
              <a:solidFill>
                <a:srgbClr val="7030A0"/>
              </a:solidFill>
              <a:ln>
                <a:noFill/>
              </a:ln>
              <a:effectLst/>
            </c:spPr>
          </c:dPt>
          <c:dLbls>
            <c:dLbl>
              <c:idx val="0"/>
              <c:layout>
                <c:manualLayout>
                  <c:x val="0.00268878306600907"/>
                  <c:y val="-0.3593149740057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8181390993334"/>
                  <c:y val="-0.37951110847600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86848301379078"/>
                      <c:h val="0.0885728542914172"/>
                    </c:manualLayout>
                  </c15:layout>
                </c:ext>
              </c:extLst>
            </c:dLbl>
            <c:dLbl>
              <c:idx val="2"/>
              <c:layout>
                <c:manualLayout>
                  <c:x val="0.00351185250219491"/>
                  <c:y val="-0.1046679179671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[统计图.xlsx]统计图决算公开!$A$71:$A$73</c:f>
              <c:strCache>
                <c:ptCount val="3"/>
                <c:pt idx="0">
                  <c:v>2022年决算收支</c:v>
                </c:pt>
                <c:pt idx="1">
                  <c:v>2023年决算收支</c:v>
                </c:pt>
                <c:pt idx="2">
                  <c:v>变动情况</c:v>
                </c:pt>
              </c:strCache>
            </c:strRef>
          </c:cat>
          <c:val>
            <c:numRef>
              <c:f>[统计图.xlsx]统计图决算公开!$B$71:$B$73</c:f>
              <c:numCache>
                <c:formatCode>_ * #,##0.00_ ;_ * \-#,##0.00_ ;_ * "-"??_ ;_ @_ </c:formatCode>
                <c:ptCount val="3"/>
                <c:pt idx="0">
                  <c:v>13778.89</c:v>
                </c:pt>
                <c:pt idx="1" c:formatCode="General">
                  <c:v>14272.27</c:v>
                </c:pt>
                <c:pt idx="2" c:formatCode="General">
                  <c:v>493.380000000001</c:v>
                </c:pt>
              </c:numCache>
            </c:numRef>
          </c:val>
        </c:ser>
        <c:dLbls>
          <c:showLegendKey val="0"/>
          <c:showVal val="1"/>
          <c:showCatName val="0"/>
          <c:showSerName val="0"/>
          <c:showPercent val="0"/>
          <c:showBubbleSize val="0"/>
        </c:dLbls>
        <c:gapWidth val="55"/>
        <c:overlap val="100"/>
        <c:axId val="576851044"/>
        <c:axId val="570596527"/>
      </c:barChart>
      <c:catAx>
        <c:axId val="5768510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0596527"/>
        <c:crosses val="autoZero"/>
        <c:auto val="1"/>
        <c:lblAlgn val="ctr"/>
        <c:lblOffset val="100"/>
        <c:noMultiLvlLbl val="0"/>
      </c:catAx>
      <c:valAx>
        <c:axId val="570596527"/>
        <c:scaling>
          <c:orientation val="minMax"/>
        </c:scaling>
        <c:delete val="0"/>
        <c:axPos val="l"/>
        <c:majorGridlines>
          <c:spPr>
            <a:ln w="9525" cap="flat" cmpd="sng" algn="ctr">
              <a:solidFill>
                <a:schemeClr val="tx1">
                  <a:lumMod val="15000"/>
                  <a:lumOff val="850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685104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收入结构图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Lbls>
            <c:dLbl>
              <c:idx val="0"/>
              <c:layout>
                <c:manualLayout>
                  <c:x val="-0.00702142499528768"/>
                  <c:y val="-0.013747894463858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0.289362483924306"/>
                      <c:h val="0.0929238985313752"/>
                    </c:manualLayout>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[统计图.xlsx]统计图决算公开!$A$80</c:f>
              <c:strCache>
                <c:ptCount val="1"/>
                <c:pt idx="0">
                  <c:v>一般公共预算财政拨款收入</c:v>
                </c:pt>
              </c:strCache>
            </c:strRef>
          </c:cat>
          <c:val>
            <c:numRef>
              <c:f>[统计图.xlsx]统计图决算公开!$B$80</c:f>
              <c:numCache>
                <c:formatCode>General</c:formatCode>
                <c:ptCount val="1"/>
                <c:pt idx="0">
                  <c:v>14272.27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295744680851064"/>
          <c:y val="0.932388059701493"/>
          <c:w val="0.526595744680851"/>
          <c:h val="0.0497014925373134"/>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支出结构图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'[统计图.xlsx]交通局计图 (2)'!$A$54:$A$55</c:f>
              <c:strCache>
                <c:ptCount val="2"/>
                <c:pt idx="0">
                  <c:v>基本支出</c:v>
                </c:pt>
                <c:pt idx="1">
                  <c:v>项目支出</c:v>
                </c:pt>
              </c:strCache>
            </c:strRef>
          </c:cat>
          <c:val>
            <c:numRef>
              <c:f>'[统计图.xlsx]交通局计图 (2)'!$B$54:$B$55</c:f>
              <c:numCache>
                <c:formatCode>General</c:formatCode>
                <c:ptCount val="2"/>
                <c:pt idx="0">
                  <c:v>2265.07</c:v>
                </c:pt>
                <c:pt idx="1">
                  <c:v>12007.2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2023</a:t>
            </a:r>
            <a:r>
              <a:rPr altLang="en-US"/>
              <a:t>年</a:t>
            </a:r>
            <a:r>
              <a:t>决算收支对比图</a:t>
            </a:r>
          </a:p>
        </c:rich>
      </c:tx>
      <c:layout/>
      <c:overlay val="0"/>
      <c:spPr>
        <a:noFill/>
        <a:ln>
          <a:noFill/>
        </a:ln>
        <a:effectLst/>
      </c:spPr>
    </c:title>
    <c:autoTitleDeleted val="0"/>
    <c:plotArea>
      <c:layout/>
      <c:barChart>
        <c:barDir val="col"/>
        <c:grouping val="stack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dPt>
          <c:dPt>
            <c:idx val="2"/>
            <c:invertIfNegative val="0"/>
            <c:bubble3D val="0"/>
            <c:spPr>
              <a:solidFill>
                <a:srgbClr val="7030A0"/>
              </a:solidFill>
              <a:ln>
                <a:noFill/>
              </a:ln>
              <a:effectLst/>
            </c:spPr>
          </c:dPt>
          <c:dLbls>
            <c:dLbl>
              <c:idx val="0"/>
              <c:layout>
                <c:manualLayout>
                  <c:x val="0.00268878306600907"/>
                  <c:y val="-0.3593149740057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8181390993334"/>
                  <c:y val="-0.37951110847600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0.186848301379078"/>
                      <c:h val="0.0885728542914172"/>
                    </c:manualLayout>
                  </c15:layout>
                </c:ext>
              </c:extLst>
            </c:dLbl>
            <c:dLbl>
              <c:idx val="2"/>
              <c:layout>
                <c:manualLayout>
                  <c:x val="0.00351185250219491"/>
                  <c:y val="-0.10466791796715"/>
                </c:manualLayout>
              </c:layout>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[统计图.xlsx]统计图决算公开!$A$71:$A$73</c:f>
              <c:strCache>
                <c:ptCount val="3"/>
                <c:pt idx="0">
                  <c:v>2022年决算收支</c:v>
                </c:pt>
                <c:pt idx="1">
                  <c:v>2023年决算收支</c:v>
                </c:pt>
                <c:pt idx="2">
                  <c:v>变动情况</c:v>
                </c:pt>
              </c:strCache>
            </c:strRef>
          </c:cat>
          <c:val>
            <c:numRef>
              <c:f>[统计图.xlsx]统计图决算公开!$B$71:$B$73</c:f>
              <c:numCache>
                <c:formatCode>_ * #,##0.00_ ;_ * \-#,##0.00_ ;_ * "-"??_ ;_ @_ </c:formatCode>
                <c:ptCount val="3"/>
                <c:pt idx="0">
                  <c:v>13778.89</c:v>
                </c:pt>
                <c:pt idx="1" c:formatCode="General">
                  <c:v>14272.27</c:v>
                </c:pt>
                <c:pt idx="2" c:formatCode="General">
                  <c:v>493.380000000001</c:v>
                </c:pt>
              </c:numCache>
            </c:numRef>
          </c:val>
        </c:ser>
        <c:dLbls>
          <c:showLegendKey val="0"/>
          <c:showVal val="1"/>
          <c:showCatName val="0"/>
          <c:showSerName val="0"/>
          <c:showPercent val="0"/>
          <c:showBubbleSize val="0"/>
        </c:dLbls>
        <c:gapWidth val="55"/>
        <c:overlap val="100"/>
        <c:axId val="576851044"/>
        <c:axId val="570596527"/>
      </c:barChart>
      <c:catAx>
        <c:axId val="57685104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0596527"/>
        <c:crosses val="autoZero"/>
        <c:auto val="1"/>
        <c:lblAlgn val="ctr"/>
        <c:lblOffset val="100"/>
        <c:noMultiLvlLbl val="0"/>
      </c:catAx>
      <c:valAx>
        <c:axId val="570596527"/>
        <c:scaling>
          <c:orientation val="minMax"/>
        </c:scaling>
        <c:delete val="0"/>
        <c:axPos val="l"/>
        <c:majorGridlines>
          <c:spPr>
            <a:ln w="9525" cap="flat" cmpd="sng" algn="ctr">
              <a:solidFill>
                <a:schemeClr val="tx1">
                  <a:lumMod val="15000"/>
                  <a:lumOff val="850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76851044"/>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altLang="en-US"/>
              <a:t>一般公共预算财政拨款支出决算变动图</a:t>
            </a:r>
            <a:endParaRPr lang="en-US" altLang="zh-CN"/>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C000"/>
              </a:solidFill>
              <a:ln>
                <a:noFill/>
              </a:ln>
              <a:effectLst/>
            </c:spPr>
          </c:dPt>
          <c:dPt>
            <c:idx val="2"/>
            <c:invertIfNegative val="0"/>
            <c:bubble3D val="0"/>
            <c:spPr>
              <a:solidFill>
                <a:srgbClr val="7030A0"/>
              </a:solidFill>
              <a:ln>
                <a:no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[统计图.xlsx]统计图决算公开!$A$46:$A$48</c:f>
              <c:strCache>
                <c:ptCount val="3"/>
                <c:pt idx="0">
                  <c:v>2022年决算支出</c:v>
                </c:pt>
                <c:pt idx="1">
                  <c:v>2023年决算支出</c:v>
                </c:pt>
                <c:pt idx="2">
                  <c:v>变动情况</c:v>
                </c:pt>
              </c:strCache>
            </c:strRef>
          </c:cat>
          <c:val>
            <c:numRef>
              <c:f>[统计图.xlsx]统计图决算公开!$B$46:$B$48</c:f>
              <c:numCache>
                <c:formatCode>_ * #,##0.00_ ;_ * \-#,##0.00_ ;_ * "-"??_ ;_ @_ </c:formatCode>
                <c:ptCount val="3"/>
                <c:pt idx="0">
                  <c:v>13778.89</c:v>
                </c:pt>
                <c:pt idx="1" c:formatCode="General">
                  <c:v>14272.27</c:v>
                </c:pt>
                <c:pt idx="2" c:formatCode="General">
                  <c:v>493.380000000001</c:v>
                </c:pt>
              </c:numCache>
            </c:numRef>
          </c:val>
        </c:ser>
        <c:dLbls>
          <c:showLegendKey val="0"/>
          <c:showVal val="1"/>
          <c:showCatName val="0"/>
          <c:showSerName val="0"/>
          <c:showPercent val="0"/>
          <c:showBubbleSize val="0"/>
        </c:dLbls>
        <c:gapWidth val="150"/>
        <c:overlap val="0"/>
        <c:axId val="38812782"/>
        <c:axId val="427983247"/>
      </c:barChart>
      <c:catAx>
        <c:axId val="388127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7983247"/>
        <c:crosses val="autoZero"/>
        <c:auto val="1"/>
        <c:lblAlgn val="ctr"/>
        <c:lblOffset val="100"/>
        <c:noMultiLvlLbl val="0"/>
      </c:catAx>
      <c:valAx>
        <c:axId val="427983247"/>
        <c:scaling>
          <c:orientation val="minMax"/>
        </c:scaling>
        <c:delete val="0"/>
        <c:axPos val="l"/>
        <c:majorGridlines>
          <c:spPr>
            <a:ln w="9525" cap="flat" cmpd="sng" algn="ctr">
              <a:solidFill>
                <a:schemeClr val="lt1">
                  <a:lumMod val="90200"/>
                </a:schemeClr>
              </a:solidFill>
              <a:round/>
            </a:ln>
            <a:effectLst/>
          </c:spPr>
        </c:majorGridlines>
        <c:numFmt formatCode="_ * #,##0.00_ ;_ * \-#,##0.00_ ;_ * &quot;-&quot;??_ ;_ @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812782"/>
        <c:crosses val="autoZero"/>
        <c:crossBetween val="between"/>
      </c:valAx>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一般公共预算财政拨款支出</a:t>
            </a:r>
          </a:p>
        </c:rich>
      </c:tx>
      <c:layout>
        <c:manualLayout>
          <c:xMode val="edge"/>
          <c:yMode val="edge"/>
          <c:x val="0.258217134411099"/>
          <c:y val="0.0244004054238729"/>
        </c:manualLayout>
      </c:layout>
      <c:overlay val="0"/>
      <c:spPr>
        <a:noFill/>
        <a:ln>
          <a:noFill/>
        </a:ln>
        <a:effectLst/>
      </c:spPr>
    </c:title>
    <c:autoTitleDeleted val="0"/>
    <c:plotArea>
      <c:layout>
        <c:manualLayout>
          <c:layoutTarget val="inner"/>
          <c:xMode val="edge"/>
          <c:yMode val="edge"/>
          <c:x val="0.154913706510821"/>
          <c:y val="0.0915772304681129"/>
          <c:w val="0.457317139987216"/>
          <c:h val="0.816845539063774"/>
        </c:manualLayout>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Lbl>
              <c:idx val="0"/>
              <c:layout>
                <c:manualLayout>
                  <c:x val="-0.0726802129251538"/>
                  <c:y val="-0.0723739506433911"/>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6684873711614"/>
                  <c:y val="-0.0893039554599238"/>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04455331564029"/>
                  <c:y val="-0.048992783181469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13418828005777"/>
                  <c:y val="-0.013560514020802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13555843438494"/>
                  <c:y val="-0.030781838202476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10831991930244"/>
                  <c:y val="0.00385660547791287"/>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394472620885138"/>
                  <c:y val="-0.0155364776803056"/>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[统计图.xlsx]统计图决算公开!$A$111:$A$117</c:f>
              <c:strCache>
                <c:ptCount val="7"/>
                <c:pt idx="0">
                  <c:v>一般公共服务支出</c:v>
                </c:pt>
                <c:pt idx="1">
                  <c:v>社会保障和就业支出</c:v>
                </c:pt>
                <c:pt idx="2">
                  <c:v>卫生健康支出</c:v>
                </c:pt>
                <c:pt idx="3">
                  <c:v>农林水支出</c:v>
                </c:pt>
                <c:pt idx="4">
                  <c:v>交通运输支出</c:v>
                </c:pt>
                <c:pt idx="5">
                  <c:v>住房保障支出</c:v>
                </c:pt>
                <c:pt idx="6">
                  <c:v>灾害防治及应急管理</c:v>
                </c:pt>
              </c:strCache>
            </c:strRef>
          </c:cat>
          <c:val>
            <c:numRef>
              <c:f>[统计图.xlsx]统计图决算公开!$B$111:$B$117</c:f>
              <c:numCache>
                <c:formatCode>General</c:formatCode>
                <c:ptCount val="7"/>
                <c:pt idx="0">
                  <c:v>3.37</c:v>
                </c:pt>
                <c:pt idx="1">
                  <c:v>350.83</c:v>
                </c:pt>
                <c:pt idx="2">
                  <c:v>670.51</c:v>
                </c:pt>
                <c:pt idx="3">
                  <c:v>425.89</c:v>
                </c:pt>
                <c:pt idx="4">
                  <c:v>12674.17</c:v>
                </c:pt>
                <c:pt idx="5">
                  <c:v>140.4</c:v>
                </c:pt>
                <c:pt idx="6">
                  <c:v>7.1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1"/>
              <c:layout>
                <c:manualLayout>
                  <c:x val="0.0033875196987992"/>
                  <c:y val="-0.00548168807954874"/>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cap="none" spc="0" normalizeH="0" baseline="0">
                    <a:solidFill>
                      <a:schemeClr val="tx1">
                        <a:lumMod val="75000"/>
                        <a:lumOff val="25000"/>
                      </a:schemeClr>
                    </a:solidFill>
                    <a:uFill>
                      <a:solidFill>
                        <a:schemeClr val="tx1">
                          <a:lumMod val="75000"/>
                          <a:lumOff val="25000"/>
                        </a:schemeClr>
                      </a:solidFill>
                    </a:u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[统计图.xlsx]统计图决算公开!$A$126:$A$127</c:f>
              <c:strCache>
                <c:ptCount val="2"/>
                <c:pt idx="0">
                  <c:v>公务用车购置及运行维护费支出</c:v>
                </c:pt>
                <c:pt idx="1">
                  <c:v>公务接待费支出</c:v>
                </c:pt>
              </c:strCache>
            </c:strRef>
          </c:cat>
          <c:val>
            <c:numRef>
              <c:f>[统计图.xlsx]统计图决算公开!$B$126:$B$127</c:f>
              <c:numCache>
                <c:formatCode>General</c:formatCode>
                <c:ptCount val="2"/>
                <c:pt idx="0">
                  <c:v>16.4</c:v>
                </c:pt>
                <c:pt idx="1">
                  <c:v>4.22</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58</Pages>
  <Words>20672</Words>
  <Characters>22014</Characters>
  <Lines>72</Lines>
  <Paragraphs>20</Paragraphs>
  <TotalTime>64</TotalTime>
  <ScaleCrop>false</ScaleCrop>
  <LinksUpToDate>false</LinksUpToDate>
  <CharactersWithSpaces>22284</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2024-08-05T07:12:00Z</dcterms:created>
  <dc:creator>曹颖</dc:creator>
  <cp:lastModifiedBy>射洪市市交通运输局</cp:lastModifiedBy>
  <cp:lastPrinted>2023-08-03T10:35:00Z</cp:lastPrinted>
  <dcterms:modified xsi:type="dcterms:W3CDTF">2024-09-03T08:00:55Z</dcterms:modified>
  <dc:title>四川省***</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63A4906B2EE8463E902EFC41BF0DC05E_12</vt:lpwstr>
  </property>
</Properties>
</file>